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DF" w:rsidRDefault="008702DF" w:rsidP="003F3050">
      <w:pPr>
        <w:autoSpaceDE w:val="0"/>
        <w:autoSpaceDN w:val="0"/>
        <w:adjustRightInd w:val="0"/>
        <w:jc w:val="center"/>
        <w:rPr>
          <w:sz w:val="24"/>
          <w:szCs w:val="24"/>
          <w:u w:val="single"/>
        </w:rPr>
      </w:pPr>
    </w:p>
    <w:p w:rsidR="007D4801" w:rsidRDefault="007D4801" w:rsidP="003F3050">
      <w:pPr>
        <w:autoSpaceDE w:val="0"/>
        <w:autoSpaceDN w:val="0"/>
        <w:adjustRightInd w:val="0"/>
        <w:jc w:val="center"/>
        <w:rPr>
          <w:sz w:val="24"/>
          <w:szCs w:val="24"/>
          <w:u w:val="single"/>
        </w:rPr>
      </w:pPr>
    </w:p>
    <w:p w:rsidR="007D4801" w:rsidRDefault="007D4801" w:rsidP="003F3050">
      <w:pPr>
        <w:autoSpaceDE w:val="0"/>
        <w:autoSpaceDN w:val="0"/>
        <w:adjustRightInd w:val="0"/>
        <w:jc w:val="center"/>
        <w:rPr>
          <w:sz w:val="24"/>
          <w:szCs w:val="24"/>
          <w:u w:val="single"/>
        </w:rPr>
      </w:pPr>
    </w:p>
    <w:p w:rsidR="007D4801" w:rsidRDefault="007D4801" w:rsidP="003F3050">
      <w:pPr>
        <w:autoSpaceDE w:val="0"/>
        <w:autoSpaceDN w:val="0"/>
        <w:adjustRightInd w:val="0"/>
        <w:jc w:val="center"/>
        <w:rPr>
          <w:sz w:val="24"/>
          <w:szCs w:val="24"/>
          <w:u w:val="single"/>
        </w:rPr>
      </w:pPr>
    </w:p>
    <w:p w:rsidR="008702DF" w:rsidRDefault="008702DF" w:rsidP="003F3050">
      <w:pPr>
        <w:autoSpaceDE w:val="0"/>
        <w:autoSpaceDN w:val="0"/>
        <w:adjustRightInd w:val="0"/>
        <w:jc w:val="center"/>
        <w:rPr>
          <w:sz w:val="24"/>
          <w:szCs w:val="24"/>
          <w:u w:val="single"/>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320"/>
      </w:tblGrid>
      <w:tr w:rsidR="008702DF" w:rsidRPr="008702DF" w:rsidTr="00C54AF2">
        <w:tc>
          <w:tcPr>
            <w:tcW w:w="4788" w:type="dxa"/>
            <w:tcBorders>
              <w:top w:val="single" w:sz="12" w:space="0" w:color="auto"/>
            </w:tcBorders>
          </w:tcPr>
          <w:p w:rsidR="00C54AF2" w:rsidRDefault="00C54AF2" w:rsidP="008702DF">
            <w:pPr>
              <w:autoSpaceDE w:val="0"/>
              <w:autoSpaceDN w:val="0"/>
              <w:adjustRightInd w:val="0"/>
              <w:rPr>
                <w:sz w:val="24"/>
                <w:szCs w:val="24"/>
              </w:rPr>
            </w:pPr>
          </w:p>
          <w:p w:rsidR="008702DF" w:rsidRPr="008702DF" w:rsidRDefault="008702DF" w:rsidP="008702DF">
            <w:pPr>
              <w:autoSpaceDE w:val="0"/>
              <w:autoSpaceDN w:val="0"/>
              <w:adjustRightInd w:val="0"/>
              <w:rPr>
                <w:sz w:val="24"/>
                <w:szCs w:val="24"/>
                <w:u w:val="single"/>
              </w:rPr>
            </w:pPr>
            <w:r w:rsidRPr="008702DF">
              <w:rPr>
                <w:sz w:val="24"/>
                <w:szCs w:val="24"/>
              </w:rPr>
              <w:t>In the matter of</w:t>
            </w:r>
          </w:p>
        </w:tc>
        <w:tc>
          <w:tcPr>
            <w:tcW w:w="4320" w:type="dxa"/>
          </w:tcPr>
          <w:p w:rsidR="00C54AF2" w:rsidRDefault="00C54AF2" w:rsidP="00ED242D">
            <w:pPr>
              <w:autoSpaceDE w:val="0"/>
              <w:autoSpaceDN w:val="0"/>
              <w:adjustRightInd w:val="0"/>
              <w:ind w:left="954"/>
              <w:rPr>
                <w:b/>
                <w:bCs/>
                <w:sz w:val="24"/>
                <w:szCs w:val="24"/>
              </w:rPr>
            </w:pPr>
          </w:p>
          <w:p w:rsidR="008702DF" w:rsidRPr="008702DF" w:rsidRDefault="008702DF" w:rsidP="00ED242D">
            <w:pPr>
              <w:autoSpaceDE w:val="0"/>
              <w:autoSpaceDN w:val="0"/>
              <w:adjustRightInd w:val="0"/>
              <w:ind w:left="954"/>
              <w:rPr>
                <w:sz w:val="24"/>
                <w:szCs w:val="24"/>
                <w:u w:val="single"/>
              </w:rPr>
            </w:pPr>
          </w:p>
        </w:tc>
      </w:tr>
      <w:tr w:rsidR="008702DF" w:rsidRPr="008702DF" w:rsidTr="00C54AF2">
        <w:tc>
          <w:tcPr>
            <w:tcW w:w="4788" w:type="dxa"/>
          </w:tcPr>
          <w:p w:rsidR="008702DF" w:rsidRPr="008702DF" w:rsidRDefault="008702DF" w:rsidP="008702DF">
            <w:pPr>
              <w:autoSpaceDE w:val="0"/>
              <w:autoSpaceDN w:val="0"/>
              <w:adjustRightInd w:val="0"/>
              <w:rPr>
                <w:sz w:val="24"/>
                <w:szCs w:val="24"/>
              </w:rPr>
            </w:pPr>
          </w:p>
        </w:tc>
        <w:tc>
          <w:tcPr>
            <w:tcW w:w="4320" w:type="dxa"/>
          </w:tcPr>
          <w:p w:rsidR="008702DF" w:rsidRPr="008702DF" w:rsidRDefault="00ED242D" w:rsidP="00B463B8">
            <w:pPr>
              <w:autoSpaceDE w:val="0"/>
              <w:autoSpaceDN w:val="0"/>
              <w:adjustRightInd w:val="0"/>
              <w:ind w:left="954"/>
              <w:rPr>
                <w:sz w:val="24"/>
                <w:szCs w:val="24"/>
                <w:u w:val="single"/>
              </w:rPr>
            </w:pPr>
            <w:r w:rsidRPr="008702DF">
              <w:rPr>
                <w:b/>
                <w:bCs/>
                <w:sz w:val="24"/>
                <w:szCs w:val="24"/>
              </w:rPr>
              <w:t xml:space="preserve">Docket No. </w:t>
            </w:r>
            <w:r w:rsidR="00B463B8">
              <w:rPr>
                <w:b/>
                <w:bCs/>
                <w:sz w:val="24"/>
                <w:szCs w:val="24"/>
              </w:rPr>
              <w:t>12-45-SP</w:t>
            </w:r>
          </w:p>
        </w:tc>
      </w:tr>
      <w:tr w:rsidR="008702DF" w:rsidRPr="008702DF" w:rsidTr="00C54AF2">
        <w:tc>
          <w:tcPr>
            <w:tcW w:w="4788" w:type="dxa"/>
          </w:tcPr>
          <w:p w:rsidR="008702DF" w:rsidRPr="008702DF" w:rsidRDefault="008702DF" w:rsidP="00B463B8">
            <w:pPr>
              <w:autoSpaceDE w:val="0"/>
              <w:autoSpaceDN w:val="0"/>
              <w:adjustRightInd w:val="0"/>
              <w:rPr>
                <w:sz w:val="24"/>
                <w:szCs w:val="24"/>
                <w:u w:val="single"/>
              </w:rPr>
            </w:pPr>
            <w:r w:rsidRPr="008702DF">
              <w:rPr>
                <w:sz w:val="24"/>
                <w:szCs w:val="24"/>
              </w:rPr>
              <w:t xml:space="preserve"> </w:t>
            </w:r>
            <w:r w:rsidR="00B463B8">
              <w:rPr>
                <w:b/>
                <w:bCs/>
                <w:sz w:val="24"/>
                <w:szCs w:val="24"/>
              </w:rPr>
              <w:t>ROSE TRAINING INSTITUTE</w:t>
            </w:r>
            <w:r w:rsidRPr="008702DF">
              <w:rPr>
                <w:b/>
                <w:bCs/>
                <w:sz w:val="24"/>
                <w:szCs w:val="24"/>
              </w:rPr>
              <w:t>,</w:t>
            </w:r>
          </w:p>
        </w:tc>
        <w:tc>
          <w:tcPr>
            <w:tcW w:w="4320" w:type="dxa"/>
          </w:tcPr>
          <w:p w:rsidR="008702DF" w:rsidRPr="008702DF" w:rsidRDefault="008702DF" w:rsidP="00ED242D">
            <w:pPr>
              <w:autoSpaceDE w:val="0"/>
              <w:autoSpaceDN w:val="0"/>
              <w:adjustRightInd w:val="0"/>
              <w:ind w:left="954"/>
              <w:rPr>
                <w:sz w:val="24"/>
                <w:szCs w:val="24"/>
                <w:u w:val="single"/>
              </w:rPr>
            </w:pPr>
            <w:r w:rsidRPr="008702DF">
              <w:rPr>
                <w:sz w:val="24"/>
                <w:szCs w:val="24"/>
              </w:rPr>
              <w:t>Federal Student Aid</w:t>
            </w:r>
            <w:r w:rsidR="00AC258B">
              <w:rPr>
                <w:sz w:val="24"/>
                <w:szCs w:val="24"/>
              </w:rPr>
              <w:t xml:space="preserve"> </w:t>
            </w:r>
            <w:r w:rsidRPr="008702DF">
              <w:rPr>
                <w:sz w:val="24"/>
                <w:szCs w:val="24"/>
              </w:rPr>
              <w:t>Proceeding</w:t>
            </w:r>
          </w:p>
        </w:tc>
      </w:tr>
      <w:tr w:rsidR="008702DF" w:rsidRPr="008702DF" w:rsidTr="00C54AF2">
        <w:tc>
          <w:tcPr>
            <w:tcW w:w="4788" w:type="dxa"/>
          </w:tcPr>
          <w:p w:rsidR="008702DF" w:rsidRPr="008702DF" w:rsidRDefault="008702DF" w:rsidP="008702DF">
            <w:pPr>
              <w:autoSpaceDE w:val="0"/>
              <w:autoSpaceDN w:val="0"/>
              <w:adjustRightInd w:val="0"/>
              <w:rPr>
                <w:sz w:val="24"/>
                <w:szCs w:val="24"/>
                <w:u w:val="single"/>
              </w:rPr>
            </w:pPr>
          </w:p>
        </w:tc>
        <w:tc>
          <w:tcPr>
            <w:tcW w:w="4320" w:type="dxa"/>
          </w:tcPr>
          <w:p w:rsidR="008702DF" w:rsidRPr="008702DF" w:rsidRDefault="008702DF" w:rsidP="00ED242D">
            <w:pPr>
              <w:autoSpaceDE w:val="0"/>
              <w:autoSpaceDN w:val="0"/>
              <w:adjustRightInd w:val="0"/>
              <w:ind w:left="954"/>
              <w:rPr>
                <w:sz w:val="24"/>
                <w:szCs w:val="24"/>
                <w:u w:val="single"/>
              </w:rPr>
            </w:pPr>
          </w:p>
        </w:tc>
      </w:tr>
      <w:tr w:rsidR="008702DF" w:rsidRPr="008702DF" w:rsidTr="00C54AF2">
        <w:tc>
          <w:tcPr>
            <w:tcW w:w="4788" w:type="dxa"/>
            <w:tcBorders>
              <w:bottom w:val="single" w:sz="12" w:space="0" w:color="auto"/>
            </w:tcBorders>
          </w:tcPr>
          <w:p w:rsidR="008702DF" w:rsidRDefault="008702DF" w:rsidP="008702DF">
            <w:pPr>
              <w:autoSpaceDE w:val="0"/>
              <w:autoSpaceDN w:val="0"/>
              <w:adjustRightInd w:val="0"/>
              <w:jc w:val="right"/>
              <w:rPr>
                <w:sz w:val="24"/>
                <w:szCs w:val="24"/>
              </w:rPr>
            </w:pPr>
            <w:r w:rsidRPr="008702DF">
              <w:rPr>
                <w:sz w:val="24"/>
                <w:szCs w:val="24"/>
              </w:rPr>
              <w:t xml:space="preserve"> Respondent.</w:t>
            </w:r>
          </w:p>
          <w:p w:rsidR="00C54AF2" w:rsidRPr="008702DF" w:rsidRDefault="00C54AF2" w:rsidP="008702DF">
            <w:pPr>
              <w:autoSpaceDE w:val="0"/>
              <w:autoSpaceDN w:val="0"/>
              <w:adjustRightInd w:val="0"/>
              <w:jc w:val="right"/>
              <w:rPr>
                <w:sz w:val="24"/>
                <w:szCs w:val="24"/>
                <w:u w:val="single"/>
              </w:rPr>
            </w:pPr>
          </w:p>
        </w:tc>
        <w:tc>
          <w:tcPr>
            <w:tcW w:w="4320" w:type="dxa"/>
          </w:tcPr>
          <w:p w:rsidR="008702DF" w:rsidRPr="008702DF" w:rsidRDefault="008702DF" w:rsidP="00ED242D">
            <w:pPr>
              <w:autoSpaceDE w:val="0"/>
              <w:autoSpaceDN w:val="0"/>
              <w:adjustRightInd w:val="0"/>
              <w:ind w:left="954"/>
              <w:rPr>
                <w:sz w:val="24"/>
                <w:szCs w:val="24"/>
                <w:u w:val="single"/>
              </w:rPr>
            </w:pPr>
          </w:p>
        </w:tc>
      </w:tr>
    </w:tbl>
    <w:p w:rsidR="008702DF" w:rsidRDefault="008702DF" w:rsidP="003F3050">
      <w:pPr>
        <w:autoSpaceDE w:val="0"/>
        <w:autoSpaceDN w:val="0"/>
        <w:adjustRightInd w:val="0"/>
        <w:jc w:val="center"/>
        <w:rPr>
          <w:sz w:val="24"/>
          <w:szCs w:val="24"/>
          <w:u w:val="single"/>
        </w:rPr>
      </w:pPr>
    </w:p>
    <w:p w:rsidR="008702DF" w:rsidRDefault="008702DF" w:rsidP="003F3050">
      <w:pPr>
        <w:autoSpaceDE w:val="0"/>
        <w:autoSpaceDN w:val="0"/>
        <w:adjustRightInd w:val="0"/>
        <w:jc w:val="center"/>
        <w:rPr>
          <w:sz w:val="24"/>
          <w:szCs w:val="24"/>
          <w:u w:val="single"/>
        </w:rPr>
      </w:pPr>
    </w:p>
    <w:p w:rsidR="00B25E93" w:rsidRDefault="00B25E93" w:rsidP="003F3050">
      <w:pPr>
        <w:autoSpaceDE w:val="0"/>
        <w:autoSpaceDN w:val="0"/>
        <w:adjustRightInd w:val="0"/>
        <w:jc w:val="center"/>
        <w:rPr>
          <w:sz w:val="24"/>
          <w:szCs w:val="24"/>
          <w:u w:val="single"/>
        </w:rPr>
      </w:pPr>
    </w:p>
    <w:p w:rsidR="003F3050" w:rsidRPr="00B25E93" w:rsidRDefault="003F3050" w:rsidP="003F3050">
      <w:pPr>
        <w:autoSpaceDE w:val="0"/>
        <w:autoSpaceDN w:val="0"/>
        <w:adjustRightInd w:val="0"/>
        <w:jc w:val="center"/>
        <w:rPr>
          <w:b/>
          <w:sz w:val="24"/>
          <w:szCs w:val="24"/>
          <w:u w:val="single"/>
        </w:rPr>
      </w:pPr>
      <w:r w:rsidRPr="00B25E93">
        <w:rPr>
          <w:b/>
          <w:sz w:val="24"/>
          <w:szCs w:val="24"/>
          <w:u w:val="single"/>
        </w:rPr>
        <w:t>DECISION OF THE SECRETARY</w:t>
      </w:r>
    </w:p>
    <w:p w:rsidR="003F3050" w:rsidRPr="000D647C" w:rsidRDefault="003F3050" w:rsidP="003F3050">
      <w:pPr>
        <w:autoSpaceDE w:val="0"/>
        <w:autoSpaceDN w:val="0"/>
        <w:adjustRightInd w:val="0"/>
        <w:rPr>
          <w:sz w:val="24"/>
          <w:szCs w:val="24"/>
        </w:rPr>
      </w:pPr>
    </w:p>
    <w:p w:rsidR="000D647C" w:rsidRPr="00EF180C" w:rsidRDefault="003F3050" w:rsidP="00E32E98">
      <w:pPr>
        <w:pStyle w:val="Default"/>
        <w:ind w:firstLine="720"/>
        <w:rPr>
          <w:color w:val="auto"/>
          <w:vertAlign w:val="baseline"/>
        </w:rPr>
      </w:pPr>
      <w:r w:rsidRPr="000D647C">
        <w:rPr>
          <w:color w:val="auto"/>
          <w:vertAlign w:val="baseline"/>
        </w:rPr>
        <w:t xml:space="preserve">This matter comes before me on appeal by </w:t>
      </w:r>
      <w:r w:rsidR="00B463B8">
        <w:rPr>
          <w:color w:val="auto"/>
          <w:vertAlign w:val="baseline"/>
        </w:rPr>
        <w:t>Rose Training</w:t>
      </w:r>
      <w:r w:rsidR="00E32E98" w:rsidRPr="000D647C">
        <w:rPr>
          <w:color w:val="auto"/>
          <w:vertAlign w:val="baseline"/>
        </w:rPr>
        <w:t xml:space="preserve"> Institute (</w:t>
      </w:r>
      <w:r w:rsidR="001876A6">
        <w:rPr>
          <w:color w:val="auto"/>
          <w:vertAlign w:val="baseline"/>
        </w:rPr>
        <w:t xml:space="preserve">RTI or </w:t>
      </w:r>
      <w:r w:rsidR="00E32E98" w:rsidRPr="000D647C">
        <w:rPr>
          <w:color w:val="auto"/>
          <w:vertAlign w:val="baseline"/>
        </w:rPr>
        <w:t xml:space="preserve">Respondent) </w:t>
      </w:r>
      <w:r w:rsidR="000D647C" w:rsidRPr="000D647C">
        <w:rPr>
          <w:color w:val="auto"/>
          <w:vertAlign w:val="baseline"/>
        </w:rPr>
        <w:t xml:space="preserve">of the </w:t>
      </w:r>
      <w:r w:rsidR="00D969AA">
        <w:rPr>
          <w:color w:val="auto"/>
          <w:vertAlign w:val="baseline"/>
        </w:rPr>
        <w:t>I</w:t>
      </w:r>
      <w:r w:rsidR="000D647C" w:rsidRPr="000D647C">
        <w:rPr>
          <w:color w:val="auto"/>
          <w:vertAlign w:val="baseline"/>
        </w:rPr>
        <w:t xml:space="preserve">nitial </w:t>
      </w:r>
      <w:r w:rsidR="00D969AA">
        <w:rPr>
          <w:color w:val="auto"/>
          <w:vertAlign w:val="baseline"/>
        </w:rPr>
        <w:t>D</w:t>
      </w:r>
      <w:r w:rsidR="000D647C" w:rsidRPr="000D647C">
        <w:rPr>
          <w:color w:val="auto"/>
          <w:vertAlign w:val="baseline"/>
        </w:rPr>
        <w:t xml:space="preserve">ecision by </w:t>
      </w:r>
      <w:r w:rsidR="00FA37B0">
        <w:rPr>
          <w:color w:val="auto"/>
          <w:vertAlign w:val="baseline"/>
        </w:rPr>
        <w:t xml:space="preserve">Administrative </w:t>
      </w:r>
      <w:r w:rsidR="000D647C" w:rsidRPr="000D647C">
        <w:rPr>
          <w:color w:val="auto"/>
          <w:vertAlign w:val="baseline"/>
        </w:rPr>
        <w:t xml:space="preserve">Judge </w:t>
      </w:r>
      <w:r w:rsidR="00B463B8">
        <w:rPr>
          <w:color w:val="auto"/>
          <w:vertAlign w:val="baseline"/>
        </w:rPr>
        <w:t xml:space="preserve">Ernest C. </w:t>
      </w:r>
      <w:proofErr w:type="spellStart"/>
      <w:r w:rsidR="00B463B8">
        <w:rPr>
          <w:color w:val="auto"/>
          <w:vertAlign w:val="baseline"/>
        </w:rPr>
        <w:t>Canellos</w:t>
      </w:r>
      <w:proofErr w:type="spellEnd"/>
      <w:r w:rsidR="000D647C" w:rsidRPr="000D647C">
        <w:rPr>
          <w:color w:val="auto"/>
          <w:vertAlign w:val="baseline"/>
        </w:rPr>
        <w:t xml:space="preserve">.  </w:t>
      </w:r>
      <w:r w:rsidR="00D56043">
        <w:rPr>
          <w:color w:val="auto"/>
          <w:vertAlign w:val="baseline"/>
        </w:rPr>
        <w:t xml:space="preserve">In the case before Judge </w:t>
      </w:r>
      <w:proofErr w:type="spellStart"/>
      <w:r w:rsidR="00D56043">
        <w:rPr>
          <w:color w:val="auto"/>
          <w:vertAlign w:val="baseline"/>
        </w:rPr>
        <w:t>Canellos</w:t>
      </w:r>
      <w:proofErr w:type="spellEnd"/>
      <w:r w:rsidR="00D56043">
        <w:rPr>
          <w:color w:val="auto"/>
          <w:vertAlign w:val="baseline"/>
        </w:rPr>
        <w:t xml:space="preserve">, Respondent appealed </w:t>
      </w:r>
      <w:r w:rsidR="00B65007">
        <w:rPr>
          <w:color w:val="auto"/>
          <w:vertAlign w:val="baseline"/>
        </w:rPr>
        <w:t>three</w:t>
      </w:r>
      <w:r w:rsidR="00D56043">
        <w:rPr>
          <w:color w:val="auto"/>
          <w:vertAlign w:val="baseline"/>
        </w:rPr>
        <w:t xml:space="preserve"> finding</w:t>
      </w:r>
      <w:r w:rsidR="00B65007">
        <w:rPr>
          <w:color w:val="auto"/>
          <w:vertAlign w:val="baseline"/>
        </w:rPr>
        <w:t>s</w:t>
      </w:r>
      <w:r w:rsidR="00D56043">
        <w:rPr>
          <w:color w:val="auto"/>
          <w:vertAlign w:val="baseline"/>
        </w:rPr>
        <w:t xml:space="preserve"> of the </w:t>
      </w:r>
      <w:r w:rsidR="00D56043" w:rsidRPr="000D647C">
        <w:rPr>
          <w:color w:val="auto"/>
          <w:vertAlign w:val="baseline"/>
        </w:rPr>
        <w:t xml:space="preserve">Revised Final </w:t>
      </w:r>
      <w:r w:rsidR="00D56043">
        <w:rPr>
          <w:color w:val="auto"/>
          <w:vertAlign w:val="baseline"/>
        </w:rPr>
        <w:t>Program Review Determination (FPRD)</w:t>
      </w:r>
      <w:r w:rsidR="00D56043" w:rsidRPr="000D647C">
        <w:rPr>
          <w:color w:val="auto"/>
          <w:vertAlign w:val="baseline"/>
        </w:rPr>
        <w:t xml:space="preserve"> </w:t>
      </w:r>
      <w:r w:rsidR="00D56043">
        <w:rPr>
          <w:color w:val="auto"/>
          <w:vertAlign w:val="baseline"/>
        </w:rPr>
        <w:t>issued on June 15, 2012</w:t>
      </w:r>
      <w:r w:rsidR="007D4801">
        <w:rPr>
          <w:color w:val="auto"/>
          <w:vertAlign w:val="baseline"/>
        </w:rPr>
        <w:t>,</w:t>
      </w:r>
      <w:r w:rsidR="00D56043">
        <w:rPr>
          <w:color w:val="auto"/>
          <w:vertAlign w:val="baseline"/>
        </w:rPr>
        <w:t xml:space="preserve"> by the Office of Federal Student Aid </w:t>
      </w:r>
      <w:r w:rsidR="007D4801">
        <w:rPr>
          <w:color w:val="auto"/>
          <w:vertAlign w:val="baseline"/>
        </w:rPr>
        <w:t xml:space="preserve">(FSA) </w:t>
      </w:r>
      <w:r w:rsidR="00D56043">
        <w:rPr>
          <w:color w:val="auto"/>
          <w:vertAlign w:val="baseline"/>
        </w:rPr>
        <w:t>of the U.S. Department of Education (Department).</w:t>
      </w:r>
      <w:r w:rsidR="00471174">
        <w:rPr>
          <w:rStyle w:val="FootnoteReference"/>
          <w:color w:val="auto"/>
        </w:rPr>
        <w:footnoteReference w:id="1"/>
      </w:r>
      <w:r w:rsidR="00D56043">
        <w:rPr>
          <w:color w:val="auto"/>
          <w:vertAlign w:val="baseline"/>
        </w:rPr>
        <w:t xml:space="preserve">  </w:t>
      </w:r>
      <w:r w:rsidRPr="000D647C">
        <w:rPr>
          <w:color w:val="auto"/>
          <w:vertAlign w:val="baseline"/>
        </w:rPr>
        <w:t xml:space="preserve">On </w:t>
      </w:r>
      <w:r w:rsidR="00B463B8">
        <w:rPr>
          <w:color w:val="auto"/>
          <w:vertAlign w:val="baseline"/>
        </w:rPr>
        <w:t>April 15, 2013</w:t>
      </w:r>
      <w:r w:rsidRPr="000D647C">
        <w:rPr>
          <w:color w:val="auto"/>
          <w:vertAlign w:val="baseline"/>
        </w:rPr>
        <w:t xml:space="preserve">, </w:t>
      </w:r>
      <w:r w:rsidR="000D647C" w:rsidRPr="000D647C">
        <w:rPr>
          <w:color w:val="auto"/>
          <w:vertAlign w:val="baseline"/>
        </w:rPr>
        <w:t xml:space="preserve">Judge </w:t>
      </w:r>
      <w:proofErr w:type="spellStart"/>
      <w:r w:rsidR="00B463B8">
        <w:rPr>
          <w:color w:val="auto"/>
          <w:vertAlign w:val="baseline"/>
        </w:rPr>
        <w:t>Canellos</w:t>
      </w:r>
      <w:proofErr w:type="spellEnd"/>
      <w:r w:rsidR="000D647C" w:rsidRPr="000D647C">
        <w:rPr>
          <w:color w:val="auto"/>
          <w:vertAlign w:val="baseline"/>
        </w:rPr>
        <w:t xml:space="preserve"> upheld </w:t>
      </w:r>
      <w:r w:rsidR="00D56043">
        <w:rPr>
          <w:color w:val="auto"/>
          <w:vertAlign w:val="baseline"/>
        </w:rPr>
        <w:t xml:space="preserve">two </w:t>
      </w:r>
      <w:r w:rsidR="000D647C" w:rsidRPr="000D647C">
        <w:rPr>
          <w:color w:val="auto"/>
          <w:vertAlign w:val="baseline"/>
        </w:rPr>
        <w:t xml:space="preserve">findings </w:t>
      </w:r>
      <w:r w:rsidR="00D56043">
        <w:rPr>
          <w:color w:val="auto"/>
          <w:vertAlign w:val="baseline"/>
        </w:rPr>
        <w:t>in the FPRD</w:t>
      </w:r>
      <w:r w:rsidR="000D647C" w:rsidRPr="000D647C">
        <w:rPr>
          <w:color w:val="auto"/>
          <w:vertAlign w:val="baseline"/>
        </w:rPr>
        <w:t xml:space="preserve"> and issued his decision </w:t>
      </w:r>
      <w:r w:rsidRPr="000D647C">
        <w:rPr>
          <w:color w:val="auto"/>
          <w:vertAlign w:val="baseline"/>
        </w:rPr>
        <w:t>ordering</w:t>
      </w:r>
      <w:r w:rsidR="00E32E98">
        <w:rPr>
          <w:color w:val="auto"/>
          <w:vertAlign w:val="baseline"/>
        </w:rPr>
        <w:t xml:space="preserve"> </w:t>
      </w:r>
      <w:r w:rsidRPr="000D647C">
        <w:rPr>
          <w:color w:val="auto"/>
          <w:vertAlign w:val="baseline"/>
        </w:rPr>
        <w:t xml:space="preserve">Respondent to pay </w:t>
      </w:r>
      <w:r w:rsidR="00B463B8">
        <w:rPr>
          <w:color w:val="auto"/>
          <w:vertAlign w:val="baseline"/>
        </w:rPr>
        <w:t>$61,730</w:t>
      </w:r>
      <w:r w:rsidR="000D647C" w:rsidRPr="000D647C">
        <w:rPr>
          <w:color w:val="auto"/>
          <w:vertAlign w:val="baseline"/>
        </w:rPr>
        <w:t xml:space="preserve"> to the Department</w:t>
      </w:r>
      <w:r w:rsidR="00E41CAF">
        <w:rPr>
          <w:color w:val="auto"/>
          <w:vertAlign w:val="baseline"/>
        </w:rPr>
        <w:t xml:space="preserve"> </w:t>
      </w:r>
      <w:r w:rsidR="000D647C" w:rsidRPr="000D647C">
        <w:rPr>
          <w:color w:val="auto"/>
          <w:vertAlign w:val="baseline"/>
        </w:rPr>
        <w:t xml:space="preserve">for its failure to </w:t>
      </w:r>
      <w:r w:rsidR="00B463B8">
        <w:rPr>
          <w:color w:val="auto"/>
          <w:vertAlign w:val="baseline"/>
        </w:rPr>
        <w:t>resolve conflicting information regarding students’ high school diplomas (Finding #3) and the lack of documentation to support the return of Title IV funds (Finding #6).</w:t>
      </w:r>
      <w:r w:rsidR="007B5005">
        <w:rPr>
          <w:rStyle w:val="FootnoteReference"/>
          <w:color w:val="auto"/>
        </w:rPr>
        <w:footnoteReference w:id="2"/>
      </w:r>
      <w:r w:rsidR="00B463B8">
        <w:rPr>
          <w:color w:val="auto"/>
          <w:vertAlign w:val="baseline"/>
        </w:rPr>
        <w:t xml:space="preserve"> </w:t>
      </w:r>
      <w:r w:rsidR="000D647C" w:rsidRPr="000D647C">
        <w:rPr>
          <w:color w:val="auto"/>
          <w:vertAlign w:val="baseline"/>
        </w:rPr>
        <w:t xml:space="preserve"> </w:t>
      </w:r>
      <w:r w:rsidR="00D75693" w:rsidRPr="00EF180C">
        <w:rPr>
          <w:color w:val="auto"/>
          <w:vertAlign w:val="baseline"/>
        </w:rPr>
        <w:t>Respondent</w:t>
      </w:r>
      <w:r w:rsidR="00E41CAF">
        <w:rPr>
          <w:color w:val="auto"/>
          <w:vertAlign w:val="baseline"/>
        </w:rPr>
        <w:t xml:space="preserve"> now appeals the same three findings (3, 4</w:t>
      </w:r>
      <w:r w:rsidR="00AC258B">
        <w:rPr>
          <w:color w:val="auto"/>
          <w:vertAlign w:val="baseline"/>
        </w:rPr>
        <w:t>,</w:t>
      </w:r>
      <w:r w:rsidR="00E41CAF">
        <w:rPr>
          <w:color w:val="auto"/>
          <w:vertAlign w:val="baseline"/>
        </w:rPr>
        <w:t xml:space="preserve"> and 6)</w:t>
      </w:r>
      <w:r w:rsidR="00E13813">
        <w:rPr>
          <w:color w:val="auto"/>
          <w:vertAlign w:val="baseline"/>
        </w:rPr>
        <w:t xml:space="preserve"> as below</w:t>
      </w:r>
      <w:r w:rsidR="00E41CAF">
        <w:rPr>
          <w:color w:val="auto"/>
          <w:vertAlign w:val="baseline"/>
        </w:rPr>
        <w:t xml:space="preserve"> and </w:t>
      </w:r>
      <w:r w:rsidR="00D75693" w:rsidRPr="00EF180C">
        <w:rPr>
          <w:color w:val="auto"/>
          <w:vertAlign w:val="baseline"/>
        </w:rPr>
        <w:t xml:space="preserve">urges </w:t>
      </w:r>
      <w:r w:rsidR="00E32E98" w:rsidRPr="00EF180C">
        <w:rPr>
          <w:color w:val="auto"/>
          <w:vertAlign w:val="baseline"/>
        </w:rPr>
        <w:t>that I</w:t>
      </w:r>
      <w:r w:rsidR="00D75693" w:rsidRPr="00EF180C">
        <w:rPr>
          <w:color w:val="auto"/>
          <w:vertAlign w:val="baseline"/>
        </w:rPr>
        <w:t xml:space="preserve"> </w:t>
      </w:r>
      <w:r w:rsidR="00EF4DF8">
        <w:rPr>
          <w:color w:val="auto"/>
          <w:vertAlign w:val="baseline"/>
        </w:rPr>
        <w:t>dismiss the FPRD</w:t>
      </w:r>
      <w:r w:rsidR="00D75693" w:rsidRPr="00EF180C">
        <w:rPr>
          <w:color w:val="auto"/>
          <w:vertAlign w:val="baseline"/>
        </w:rPr>
        <w:t>.</w:t>
      </w:r>
      <w:r w:rsidR="00EF4DF8">
        <w:rPr>
          <w:rStyle w:val="FootnoteReference"/>
          <w:color w:val="auto"/>
        </w:rPr>
        <w:footnoteReference w:id="3"/>
      </w:r>
      <w:r w:rsidR="00D75693" w:rsidRPr="00EF180C">
        <w:rPr>
          <w:color w:val="auto"/>
          <w:vertAlign w:val="baseline"/>
        </w:rPr>
        <w:t xml:space="preserve"> </w:t>
      </w:r>
    </w:p>
    <w:p w:rsidR="00E32E98" w:rsidRPr="00EF180C" w:rsidRDefault="00E32E98" w:rsidP="00E32E98">
      <w:pPr>
        <w:pStyle w:val="Default"/>
        <w:ind w:firstLine="720"/>
        <w:rPr>
          <w:color w:val="auto"/>
          <w:vertAlign w:val="baseline"/>
        </w:rPr>
      </w:pPr>
    </w:p>
    <w:p w:rsidR="00B65007" w:rsidRDefault="00205AF1" w:rsidP="003B094F">
      <w:pPr>
        <w:pStyle w:val="Default"/>
        <w:ind w:firstLine="720"/>
        <w:rPr>
          <w:color w:val="auto"/>
          <w:vertAlign w:val="baseline"/>
        </w:rPr>
      </w:pPr>
      <w:r>
        <w:rPr>
          <w:color w:val="auto"/>
          <w:vertAlign w:val="baseline"/>
        </w:rPr>
        <w:t>In this appeal, Respondent reiterates</w:t>
      </w:r>
      <w:r w:rsidR="006832B0">
        <w:rPr>
          <w:color w:val="auto"/>
          <w:vertAlign w:val="baseline"/>
        </w:rPr>
        <w:t xml:space="preserve"> verbatim</w:t>
      </w:r>
      <w:r>
        <w:rPr>
          <w:color w:val="auto"/>
          <w:vertAlign w:val="baseline"/>
        </w:rPr>
        <w:t xml:space="preserve"> the </w:t>
      </w:r>
      <w:r w:rsidR="00AA4A46">
        <w:rPr>
          <w:color w:val="auto"/>
          <w:vertAlign w:val="baseline"/>
        </w:rPr>
        <w:t xml:space="preserve">arguments that were adjudicated </w:t>
      </w:r>
      <w:r w:rsidR="009F2EBD">
        <w:rPr>
          <w:color w:val="auto"/>
          <w:vertAlign w:val="baseline"/>
        </w:rPr>
        <w:t xml:space="preserve">in the </w:t>
      </w:r>
      <w:r w:rsidR="00270A0A">
        <w:rPr>
          <w:color w:val="auto"/>
          <w:vertAlign w:val="baseline"/>
        </w:rPr>
        <w:t>Initial Decision</w:t>
      </w:r>
      <w:r w:rsidR="00E13813">
        <w:rPr>
          <w:color w:val="auto"/>
          <w:vertAlign w:val="baseline"/>
        </w:rPr>
        <w:t xml:space="preserve"> and ostensibly adds </w:t>
      </w:r>
      <w:r w:rsidR="00B27BB3">
        <w:rPr>
          <w:color w:val="auto"/>
          <w:vertAlign w:val="baseline"/>
        </w:rPr>
        <w:t>three more.</w:t>
      </w:r>
      <w:r w:rsidR="00B27BB3">
        <w:rPr>
          <w:rStyle w:val="FootnoteReference"/>
          <w:color w:val="auto"/>
        </w:rPr>
        <w:footnoteReference w:id="4"/>
      </w:r>
      <w:r w:rsidR="005236AB">
        <w:rPr>
          <w:color w:val="auto"/>
          <w:vertAlign w:val="baseline"/>
        </w:rPr>
        <w:t xml:space="preserve">  Two of these </w:t>
      </w:r>
      <w:r w:rsidR="006832B0">
        <w:rPr>
          <w:color w:val="auto"/>
          <w:vertAlign w:val="baseline"/>
        </w:rPr>
        <w:t xml:space="preserve">newly-raised </w:t>
      </w:r>
      <w:r w:rsidR="005236AB">
        <w:rPr>
          <w:color w:val="auto"/>
          <w:vertAlign w:val="baseline"/>
        </w:rPr>
        <w:t xml:space="preserve">arguments </w:t>
      </w:r>
      <w:r w:rsidR="008F539F">
        <w:rPr>
          <w:color w:val="auto"/>
          <w:vertAlign w:val="baseline"/>
        </w:rPr>
        <w:t xml:space="preserve">seem to address Finding #3 </w:t>
      </w:r>
      <w:r w:rsidR="00036E0B">
        <w:rPr>
          <w:color w:val="auto"/>
          <w:vertAlign w:val="baseline"/>
        </w:rPr>
        <w:t xml:space="preserve">and are </w:t>
      </w:r>
      <w:r w:rsidR="00522EE9">
        <w:rPr>
          <w:color w:val="auto"/>
          <w:vertAlign w:val="baseline"/>
        </w:rPr>
        <w:t>discussed</w:t>
      </w:r>
      <w:r w:rsidR="00036E0B">
        <w:rPr>
          <w:color w:val="auto"/>
          <w:vertAlign w:val="baseline"/>
        </w:rPr>
        <w:t xml:space="preserve"> below</w:t>
      </w:r>
      <w:r w:rsidR="005236AB">
        <w:rPr>
          <w:color w:val="auto"/>
          <w:vertAlign w:val="baseline"/>
        </w:rPr>
        <w:t>.</w:t>
      </w:r>
      <w:r w:rsidR="00806472">
        <w:rPr>
          <w:rStyle w:val="FootnoteReference"/>
          <w:color w:val="auto"/>
        </w:rPr>
        <w:footnoteReference w:id="5"/>
      </w:r>
    </w:p>
    <w:p w:rsidR="005236AB" w:rsidRDefault="005236AB" w:rsidP="003B094F">
      <w:pPr>
        <w:pStyle w:val="Default"/>
        <w:ind w:firstLine="720"/>
        <w:rPr>
          <w:color w:val="auto"/>
          <w:vertAlign w:val="baseline"/>
        </w:rPr>
      </w:pPr>
    </w:p>
    <w:p w:rsidR="005236AB" w:rsidRDefault="005236AB" w:rsidP="003B094F">
      <w:pPr>
        <w:pStyle w:val="Default"/>
        <w:ind w:firstLine="720"/>
        <w:rPr>
          <w:color w:val="auto"/>
          <w:vertAlign w:val="baseline"/>
        </w:rPr>
      </w:pPr>
      <w:r>
        <w:rPr>
          <w:color w:val="auto"/>
          <w:vertAlign w:val="baseline"/>
        </w:rPr>
        <w:t xml:space="preserve">First, Respondent asserts that Judge </w:t>
      </w:r>
      <w:proofErr w:type="spellStart"/>
      <w:r>
        <w:rPr>
          <w:color w:val="auto"/>
          <w:vertAlign w:val="baseline"/>
        </w:rPr>
        <w:t>Canellos</w:t>
      </w:r>
      <w:proofErr w:type="spellEnd"/>
      <w:r>
        <w:rPr>
          <w:color w:val="auto"/>
          <w:vertAlign w:val="baseline"/>
        </w:rPr>
        <w:t xml:space="preserve"> </w:t>
      </w:r>
      <w:r w:rsidR="00916D31">
        <w:rPr>
          <w:color w:val="auto"/>
          <w:vertAlign w:val="baseline"/>
        </w:rPr>
        <w:t>“</w:t>
      </w:r>
      <w:r>
        <w:rPr>
          <w:color w:val="auto"/>
          <w:vertAlign w:val="baseline"/>
        </w:rPr>
        <w:t>used state law</w:t>
      </w:r>
      <w:r w:rsidR="00916D31">
        <w:rPr>
          <w:color w:val="auto"/>
          <w:vertAlign w:val="baseline"/>
        </w:rPr>
        <w:t>”</w:t>
      </w:r>
      <w:r>
        <w:rPr>
          <w:color w:val="auto"/>
          <w:vertAlign w:val="baseline"/>
        </w:rPr>
        <w:t xml:space="preserve"> in his decision but fails to </w:t>
      </w:r>
      <w:r w:rsidR="00916D31">
        <w:rPr>
          <w:color w:val="auto"/>
          <w:vertAlign w:val="baseline"/>
        </w:rPr>
        <w:t xml:space="preserve">explain this statement or </w:t>
      </w:r>
      <w:r>
        <w:rPr>
          <w:color w:val="auto"/>
          <w:vertAlign w:val="baseline"/>
        </w:rPr>
        <w:t xml:space="preserve">articulate how Judge </w:t>
      </w:r>
      <w:proofErr w:type="spellStart"/>
      <w:r>
        <w:rPr>
          <w:color w:val="auto"/>
          <w:vertAlign w:val="baseline"/>
        </w:rPr>
        <w:t>Canellos’s</w:t>
      </w:r>
      <w:proofErr w:type="spellEnd"/>
      <w:r>
        <w:rPr>
          <w:color w:val="auto"/>
          <w:vertAlign w:val="baseline"/>
        </w:rPr>
        <w:t xml:space="preserve"> decision was an improper application of </w:t>
      </w:r>
      <w:r w:rsidR="00522EE9">
        <w:rPr>
          <w:color w:val="auto"/>
          <w:vertAlign w:val="baseline"/>
        </w:rPr>
        <w:t xml:space="preserve">the </w:t>
      </w:r>
      <w:r>
        <w:rPr>
          <w:color w:val="auto"/>
          <w:vertAlign w:val="baseline"/>
        </w:rPr>
        <w:t>law.</w:t>
      </w:r>
      <w:r w:rsidR="00916D31">
        <w:rPr>
          <w:rStyle w:val="FootnoteReference"/>
          <w:color w:val="auto"/>
        </w:rPr>
        <w:footnoteReference w:id="6"/>
      </w:r>
      <w:r w:rsidR="00643B1E">
        <w:rPr>
          <w:color w:val="auto"/>
          <w:vertAlign w:val="baseline"/>
        </w:rPr>
        <w:t xml:space="preserve">  For this reason, I remain unclear as to Respondent’s </w:t>
      </w:r>
      <w:r w:rsidR="00B5602E">
        <w:rPr>
          <w:color w:val="auto"/>
          <w:vertAlign w:val="baseline"/>
        </w:rPr>
        <w:t>claim</w:t>
      </w:r>
      <w:r w:rsidR="00B5602E" w:rsidDel="00B5602E">
        <w:rPr>
          <w:color w:val="auto"/>
          <w:vertAlign w:val="baseline"/>
        </w:rPr>
        <w:t xml:space="preserve"> </w:t>
      </w:r>
      <w:r w:rsidR="002366A2">
        <w:rPr>
          <w:color w:val="auto"/>
          <w:vertAlign w:val="baseline"/>
        </w:rPr>
        <w:t>and cannot give it credence</w:t>
      </w:r>
      <w:r w:rsidR="00643B1E">
        <w:rPr>
          <w:color w:val="auto"/>
          <w:vertAlign w:val="baseline"/>
        </w:rPr>
        <w:t xml:space="preserve">.  In the same paragraph, Respondent </w:t>
      </w:r>
      <w:r w:rsidR="00390B84">
        <w:rPr>
          <w:color w:val="auto"/>
          <w:vertAlign w:val="baseline"/>
        </w:rPr>
        <w:t>also mak</w:t>
      </w:r>
      <w:r w:rsidR="00522EE9">
        <w:rPr>
          <w:color w:val="auto"/>
          <w:vertAlign w:val="baseline"/>
        </w:rPr>
        <w:t>es</w:t>
      </w:r>
      <w:r w:rsidR="00643B1E">
        <w:rPr>
          <w:color w:val="auto"/>
          <w:vertAlign w:val="baseline"/>
        </w:rPr>
        <w:t xml:space="preserve"> the point that the institution relied on representations by Department employees that certificates of completion were acceptable to </w:t>
      </w:r>
      <w:r w:rsidR="00806472">
        <w:rPr>
          <w:color w:val="auto"/>
          <w:vertAlign w:val="baseline"/>
        </w:rPr>
        <w:t>establish</w:t>
      </w:r>
      <w:r w:rsidR="00643B1E">
        <w:rPr>
          <w:color w:val="auto"/>
          <w:vertAlign w:val="baseline"/>
        </w:rPr>
        <w:t xml:space="preserve"> eligibility for Title IV funds.  </w:t>
      </w:r>
      <w:r w:rsidR="00EF112F">
        <w:rPr>
          <w:color w:val="auto"/>
          <w:vertAlign w:val="baseline"/>
        </w:rPr>
        <w:t>This is not a new argument; Respondent raised it in the proceeding below.  I</w:t>
      </w:r>
      <w:r w:rsidR="002366A2">
        <w:rPr>
          <w:color w:val="auto"/>
          <w:vertAlign w:val="baseline"/>
        </w:rPr>
        <w:t xml:space="preserve">t was not the basis of </w:t>
      </w:r>
      <w:r w:rsidR="00EF112F">
        <w:rPr>
          <w:color w:val="auto"/>
          <w:vertAlign w:val="baseline"/>
        </w:rPr>
        <w:t xml:space="preserve">Judge </w:t>
      </w:r>
      <w:proofErr w:type="spellStart"/>
      <w:r w:rsidR="00EF112F">
        <w:rPr>
          <w:color w:val="auto"/>
          <w:vertAlign w:val="baseline"/>
        </w:rPr>
        <w:t>Canellos’s</w:t>
      </w:r>
      <w:proofErr w:type="spellEnd"/>
      <w:r w:rsidR="002366A2">
        <w:rPr>
          <w:color w:val="auto"/>
          <w:vertAlign w:val="baseline"/>
        </w:rPr>
        <w:t xml:space="preserve"> determination of liability</w:t>
      </w:r>
      <w:r w:rsidR="00AB203B">
        <w:rPr>
          <w:color w:val="auto"/>
          <w:vertAlign w:val="baseline"/>
        </w:rPr>
        <w:t xml:space="preserve"> for Finding #3</w:t>
      </w:r>
      <w:r w:rsidR="008F539F">
        <w:rPr>
          <w:color w:val="auto"/>
          <w:vertAlign w:val="baseline"/>
        </w:rPr>
        <w:t xml:space="preserve">, </w:t>
      </w:r>
      <w:r w:rsidR="00EF112F">
        <w:rPr>
          <w:color w:val="auto"/>
          <w:vertAlign w:val="baseline"/>
        </w:rPr>
        <w:t xml:space="preserve">and </w:t>
      </w:r>
      <w:r w:rsidR="00C10071">
        <w:rPr>
          <w:color w:val="auto"/>
          <w:vertAlign w:val="baseline"/>
        </w:rPr>
        <w:t xml:space="preserve">therefore, </w:t>
      </w:r>
      <w:r w:rsidR="008F539F">
        <w:rPr>
          <w:color w:val="auto"/>
          <w:vertAlign w:val="baseline"/>
        </w:rPr>
        <w:t xml:space="preserve">he </w:t>
      </w:r>
      <w:r w:rsidR="00C84E00">
        <w:rPr>
          <w:color w:val="auto"/>
          <w:vertAlign w:val="baseline"/>
        </w:rPr>
        <w:t xml:space="preserve">did </w:t>
      </w:r>
      <w:r w:rsidR="00EF112F">
        <w:rPr>
          <w:color w:val="auto"/>
          <w:vertAlign w:val="baseline"/>
        </w:rPr>
        <w:t xml:space="preserve">not address the question in his decision.  </w:t>
      </w:r>
      <w:r w:rsidR="005E4631">
        <w:rPr>
          <w:color w:val="auto"/>
          <w:vertAlign w:val="baseline"/>
        </w:rPr>
        <w:t xml:space="preserve">Judge </w:t>
      </w:r>
      <w:proofErr w:type="spellStart"/>
      <w:r w:rsidR="005E4631">
        <w:rPr>
          <w:color w:val="auto"/>
          <w:vertAlign w:val="baseline"/>
        </w:rPr>
        <w:t>Canellos</w:t>
      </w:r>
      <w:proofErr w:type="spellEnd"/>
      <w:r w:rsidR="00F37C35">
        <w:rPr>
          <w:color w:val="auto"/>
          <w:vertAlign w:val="baseline"/>
        </w:rPr>
        <w:t xml:space="preserve"> made his determination based on Respondent’s failure to comply with 34 C.F.R. § 668.16(f)</w:t>
      </w:r>
      <w:r w:rsidR="005E4631">
        <w:rPr>
          <w:color w:val="auto"/>
          <w:vertAlign w:val="baseline"/>
        </w:rPr>
        <w:t>, which requires Respondent to d</w:t>
      </w:r>
      <w:r w:rsidR="005E4631" w:rsidRPr="005E4631">
        <w:rPr>
          <w:color w:val="auto"/>
          <w:vertAlign w:val="baseline"/>
        </w:rPr>
        <w:t>evelop and apply an adequate system to identify and resolve discrepancies in the information it receives from different sources with respect to a student</w:t>
      </w:r>
      <w:r w:rsidR="00580097">
        <w:rPr>
          <w:color w:val="auto"/>
          <w:vertAlign w:val="baseline"/>
        </w:rPr>
        <w:t>’</w:t>
      </w:r>
      <w:r w:rsidR="005E4631" w:rsidRPr="005E4631">
        <w:rPr>
          <w:color w:val="auto"/>
          <w:vertAlign w:val="baseline"/>
        </w:rPr>
        <w:t>s application for financial aid under Title IV, HEA programs</w:t>
      </w:r>
      <w:r w:rsidR="00F37C35">
        <w:rPr>
          <w:color w:val="auto"/>
          <w:vertAlign w:val="baseline"/>
        </w:rPr>
        <w:t>.</w:t>
      </w:r>
      <w:r w:rsidR="00F37C35">
        <w:rPr>
          <w:rStyle w:val="FootnoteReference"/>
          <w:color w:val="auto"/>
        </w:rPr>
        <w:footnoteReference w:id="7"/>
      </w:r>
      <w:r w:rsidR="00F37C35">
        <w:rPr>
          <w:color w:val="auto"/>
          <w:vertAlign w:val="baseline"/>
        </w:rPr>
        <w:t xml:space="preserve">  </w:t>
      </w:r>
      <w:r w:rsidR="00FD423D">
        <w:rPr>
          <w:color w:val="auto"/>
          <w:vertAlign w:val="baseline"/>
        </w:rPr>
        <w:t>Arguments as to</w:t>
      </w:r>
      <w:r w:rsidR="00580097">
        <w:rPr>
          <w:color w:val="auto"/>
          <w:vertAlign w:val="baseline"/>
        </w:rPr>
        <w:t xml:space="preserve"> any</w:t>
      </w:r>
      <w:r w:rsidR="00FD423D">
        <w:rPr>
          <w:color w:val="auto"/>
          <w:vertAlign w:val="baseline"/>
        </w:rPr>
        <w:t xml:space="preserve"> guidance </w:t>
      </w:r>
      <w:r w:rsidR="00580097">
        <w:rPr>
          <w:color w:val="auto"/>
          <w:vertAlign w:val="baseline"/>
        </w:rPr>
        <w:t xml:space="preserve">Respondent </w:t>
      </w:r>
      <w:r w:rsidR="00FD423D">
        <w:rPr>
          <w:color w:val="auto"/>
          <w:vertAlign w:val="baseline"/>
        </w:rPr>
        <w:t>received and relied upon with regard to the certificates of completion</w:t>
      </w:r>
      <w:r w:rsidR="00E06E0B">
        <w:rPr>
          <w:color w:val="auto"/>
          <w:vertAlign w:val="baseline"/>
        </w:rPr>
        <w:t xml:space="preserve"> as proof of eligibility</w:t>
      </w:r>
      <w:r w:rsidR="00FD423D">
        <w:rPr>
          <w:color w:val="auto"/>
          <w:vertAlign w:val="baseline"/>
        </w:rPr>
        <w:t xml:space="preserve"> are not germane to this finding</w:t>
      </w:r>
      <w:r w:rsidR="000446D0">
        <w:rPr>
          <w:color w:val="auto"/>
          <w:vertAlign w:val="baseline"/>
        </w:rPr>
        <w:t xml:space="preserve"> as they do not address the issue of discrepancies in students’ files</w:t>
      </w:r>
      <w:r w:rsidR="00FD423D">
        <w:rPr>
          <w:color w:val="auto"/>
          <w:vertAlign w:val="baseline"/>
        </w:rPr>
        <w:t>.</w:t>
      </w:r>
      <w:r w:rsidR="00201D91">
        <w:rPr>
          <w:rStyle w:val="FootnoteReference"/>
          <w:color w:val="auto"/>
        </w:rPr>
        <w:footnoteReference w:id="8"/>
      </w:r>
      <w:r w:rsidR="00FD423D">
        <w:rPr>
          <w:color w:val="auto"/>
          <w:vertAlign w:val="baseline"/>
        </w:rPr>
        <w:t xml:space="preserve">  </w:t>
      </w:r>
      <w:r w:rsidR="00390B84">
        <w:rPr>
          <w:color w:val="auto"/>
          <w:vertAlign w:val="baseline"/>
        </w:rPr>
        <w:t xml:space="preserve">For this reason, Respondent’s argument </w:t>
      </w:r>
      <w:r w:rsidR="00026F62">
        <w:rPr>
          <w:color w:val="auto"/>
          <w:vertAlign w:val="baseline"/>
        </w:rPr>
        <w:t xml:space="preserve">is irrelevant and </w:t>
      </w:r>
      <w:r w:rsidR="00390B84">
        <w:rPr>
          <w:color w:val="auto"/>
          <w:vertAlign w:val="baseline"/>
        </w:rPr>
        <w:t>has no merit.</w:t>
      </w:r>
      <w:r w:rsidR="00390B84">
        <w:rPr>
          <w:rStyle w:val="FootnoteReference"/>
          <w:color w:val="auto"/>
        </w:rPr>
        <w:footnoteReference w:id="9"/>
      </w:r>
      <w:r w:rsidR="00390B84">
        <w:rPr>
          <w:color w:val="auto"/>
          <w:vertAlign w:val="baseline"/>
        </w:rPr>
        <w:t xml:space="preserve">  </w:t>
      </w:r>
    </w:p>
    <w:p w:rsidR="00390B84" w:rsidRDefault="00390B84" w:rsidP="003B094F">
      <w:pPr>
        <w:pStyle w:val="Default"/>
        <w:ind w:firstLine="720"/>
        <w:rPr>
          <w:color w:val="auto"/>
          <w:vertAlign w:val="baseline"/>
        </w:rPr>
      </w:pPr>
    </w:p>
    <w:p w:rsidR="00390B84" w:rsidRDefault="00390B84" w:rsidP="003B094F">
      <w:pPr>
        <w:pStyle w:val="Default"/>
        <w:ind w:firstLine="720"/>
        <w:rPr>
          <w:color w:val="auto"/>
          <w:vertAlign w:val="baseline"/>
        </w:rPr>
      </w:pPr>
      <w:r>
        <w:rPr>
          <w:color w:val="auto"/>
          <w:vertAlign w:val="baseline"/>
        </w:rPr>
        <w:lastRenderedPageBreak/>
        <w:t>Respondent’s second</w:t>
      </w:r>
      <w:r w:rsidR="00BA55FA">
        <w:rPr>
          <w:rStyle w:val="FootnoteReference"/>
          <w:color w:val="auto"/>
        </w:rPr>
        <w:footnoteReference w:id="10"/>
      </w:r>
      <w:r>
        <w:rPr>
          <w:color w:val="auto"/>
          <w:vertAlign w:val="baseline"/>
        </w:rPr>
        <w:t xml:space="preserve"> </w:t>
      </w:r>
      <w:r w:rsidR="00BA55FA">
        <w:rPr>
          <w:color w:val="auto"/>
          <w:vertAlign w:val="baseline"/>
        </w:rPr>
        <w:t xml:space="preserve">argument takes issue with Judge </w:t>
      </w:r>
      <w:proofErr w:type="spellStart"/>
      <w:r w:rsidR="00BA55FA">
        <w:rPr>
          <w:color w:val="auto"/>
          <w:vertAlign w:val="baseline"/>
        </w:rPr>
        <w:t>Canellos’s</w:t>
      </w:r>
      <w:proofErr w:type="spellEnd"/>
      <w:r w:rsidR="00BA55FA">
        <w:rPr>
          <w:color w:val="auto"/>
          <w:vertAlign w:val="baseline"/>
        </w:rPr>
        <w:t xml:space="preserve"> conclusion that “Rose was on clear notice that there were apparent inconsistencies in the information relative to the eligibility of those students.”</w:t>
      </w:r>
      <w:r w:rsidR="00FE07B5">
        <w:rPr>
          <w:rStyle w:val="FootnoteReference"/>
          <w:color w:val="auto"/>
        </w:rPr>
        <w:footnoteReference w:id="11"/>
      </w:r>
      <w:r w:rsidR="00BA55FA">
        <w:rPr>
          <w:color w:val="auto"/>
          <w:vertAlign w:val="baseline"/>
        </w:rPr>
        <w:t xml:space="preserve">  RTI argues that it did not have </w:t>
      </w:r>
      <w:r w:rsidR="00086D93">
        <w:rPr>
          <w:color w:val="auto"/>
          <w:vertAlign w:val="baseline"/>
        </w:rPr>
        <w:t xml:space="preserve">any such </w:t>
      </w:r>
      <w:r w:rsidR="00BA55FA">
        <w:rPr>
          <w:color w:val="auto"/>
          <w:vertAlign w:val="baseline"/>
        </w:rPr>
        <w:t>clear notice</w:t>
      </w:r>
      <w:r w:rsidR="00580097">
        <w:rPr>
          <w:color w:val="auto"/>
          <w:vertAlign w:val="baseline"/>
        </w:rPr>
        <w:t xml:space="preserve"> and</w:t>
      </w:r>
      <w:r w:rsidR="00BA55FA">
        <w:rPr>
          <w:color w:val="auto"/>
          <w:vertAlign w:val="baseline"/>
        </w:rPr>
        <w:t xml:space="preserve"> </w:t>
      </w:r>
      <w:r w:rsidR="00086D93">
        <w:rPr>
          <w:color w:val="auto"/>
          <w:vertAlign w:val="baseline"/>
        </w:rPr>
        <w:t xml:space="preserve">that nothing in the relevant statutes or policy </w:t>
      </w:r>
      <w:r w:rsidR="00580097">
        <w:rPr>
          <w:color w:val="auto"/>
          <w:vertAlign w:val="baseline"/>
        </w:rPr>
        <w:t>issued by</w:t>
      </w:r>
      <w:r w:rsidR="00086D93">
        <w:rPr>
          <w:color w:val="auto"/>
          <w:vertAlign w:val="baseline"/>
        </w:rPr>
        <w:t xml:space="preserve"> the Department provides guidance for it to follow in</w:t>
      </w:r>
      <w:r w:rsidR="00580097">
        <w:rPr>
          <w:color w:val="auto"/>
          <w:vertAlign w:val="baseline"/>
        </w:rPr>
        <w:t xml:space="preserve"> </w:t>
      </w:r>
      <w:r w:rsidR="00086D93">
        <w:rPr>
          <w:color w:val="auto"/>
          <w:vertAlign w:val="baseline"/>
        </w:rPr>
        <w:t>determining when schools are diploma mills</w:t>
      </w:r>
      <w:r w:rsidR="00580097">
        <w:rPr>
          <w:color w:val="auto"/>
          <w:vertAlign w:val="baseline"/>
        </w:rPr>
        <w:t>.  Respondent also</w:t>
      </w:r>
      <w:r w:rsidR="00BA55FA">
        <w:rPr>
          <w:color w:val="auto"/>
          <w:vertAlign w:val="baseline"/>
        </w:rPr>
        <w:t xml:space="preserve"> requests that the Department provide documentation of any contacts it had with RTI prior to June 28, 2010, when the Department conducted its site visit</w:t>
      </w:r>
      <w:r w:rsidR="00501BF4">
        <w:rPr>
          <w:color w:val="auto"/>
          <w:vertAlign w:val="baseline"/>
        </w:rPr>
        <w:t>, as proof of the clear notice</w:t>
      </w:r>
      <w:r w:rsidR="00BA55FA">
        <w:rPr>
          <w:color w:val="auto"/>
          <w:vertAlign w:val="baseline"/>
        </w:rPr>
        <w:t>.</w:t>
      </w:r>
      <w:r w:rsidR="00086D93">
        <w:rPr>
          <w:color w:val="auto"/>
          <w:vertAlign w:val="baseline"/>
        </w:rPr>
        <w:t xml:space="preserve">  </w:t>
      </w:r>
    </w:p>
    <w:p w:rsidR="00590D0E" w:rsidRDefault="00590D0E" w:rsidP="003B094F">
      <w:pPr>
        <w:pStyle w:val="Default"/>
        <w:ind w:firstLine="720"/>
        <w:rPr>
          <w:color w:val="auto"/>
          <w:vertAlign w:val="baseline"/>
        </w:rPr>
      </w:pPr>
    </w:p>
    <w:p w:rsidR="00590D0E" w:rsidRDefault="00590D0E" w:rsidP="003B094F">
      <w:pPr>
        <w:pStyle w:val="Default"/>
        <w:ind w:firstLine="720"/>
        <w:rPr>
          <w:color w:val="auto"/>
          <w:vertAlign w:val="baseline"/>
        </w:rPr>
      </w:pPr>
      <w:r>
        <w:rPr>
          <w:color w:val="auto"/>
          <w:vertAlign w:val="baseline"/>
        </w:rPr>
        <w:t xml:space="preserve">Regarding the </w:t>
      </w:r>
      <w:r w:rsidR="009A1A08">
        <w:rPr>
          <w:color w:val="auto"/>
          <w:vertAlign w:val="baseline"/>
        </w:rPr>
        <w:t>diploma mill</w:t>
      </w:r>
      <w:r>
        <w:rPr>
          <w:color w:val="auto"/>
          <w:vertAlign w:val="baseline"/>
        </w:rPr>
        <w:t xml:space="preserve"> issue, Respondent misconstrues the liability determination in the Initial Decision.  As discussed above, the hearing official found that Respondent had failed to reconcile inconsistencies in the students’ files.</w:t>
      </w:r>
      <w:r w:rsidR="0051236F">
        <w:rPr>
          <w:color w:val="auto"/>
          <w:vertAlign w:val="baseline"/>
        </w:rPr>
        <w:t xml:space="preserve">  This determination alone </w:t>
      </w:r>
      <w:r w:rsidR="001E1031">
        <w:rPr>
          <w:color w:val="auto"/>
          <w:vertAlign w:val="baseline"/>
        </w:rPr>
        <w:t xml:space="preserve">is </w:t>
      </w:r>
      <w:r w:rsidR="0051236F">
        <w:rPr>
          <w:color w:val="auto"/>
          <w:vertAlign w:val="baseline"/>
        </w:rPr>
        <w:t>sufficient to establish liability.</w:t>
      </w:r>
      <w:r>
        <w:rPr>
          <w:color w:val="auto"/>
          <w:vertAlign w:val="baseline"/>
        </w:rPr>
        <w:t xml:space="preserve">  The issue of </w:t>
      </w:r>
      <w:r w:rsidR="000939CB">
        <w:rPr>
          <w:color w:val="auto"/>
          <w:vertAlign w:val="baseline"/>
        </w:rPr>
        <w:t>whether the students’ credentials</w:t>
      </w:r>
      <w:r w:rsidR="009A1A08">
        <w:rPr>
          <w:color w:val="auto"/>
          <w:vertAlign w:val="baseline"/>
        </w:rPr>
        <w:t xml:space="preserve"> – whether they were certificates of completion or diplomas from diploma mills</w:t>
      </w:r>
      <w:r w:rsidR="00223607">
        <w:rPr>
          <w:color w:val="auto"/>
          <w:vertAlign w:val="baseline"/>
        </w:rPr>
        <w:t xml:space="preserve"> – </w:t>
      </w:r>
      <w:r w:rsidR="000939CB">
        <w:rPr>
          <w:color w:val="auto"/>
          <w:vertAlign w:val="baseline"/>
        </w:rPr>
        <w:t xml:space="preserve">were </w:t>
      </w:r>
      <w:r w:rsidR="0051236F">
        <w:rPr>
          <w:color w:val="auto"/>
          <w:vertAlign w:val="baseline"/>
        </w:rPr>
        <w:t>acceptable to establish eligibility</w:t>
      </w:r>
      <w:r w:rsidR="009F0D79">
        <w:rPr>
          <w:color w:val="auto"/>
          <w:vertAlign w:val="baseline"/>
        </w:rPr>
        <w:t xml:space="preserve"> is inapposite to </w:t>
      </w:r>
      <w:r w:rsidR="00607270">
        <w:rPr>
          <w:color w:val="auto"/>
          <w:vertAlign w:val="baseline"/>
        </w:rPr>
        <w:t xml:space="preserve">the finding that RTI did not resolve discrepancies in the students’ file.  Therefore, this argument </w:t>
      </w:r>
      <w:r w:rsidR="003A1E3C">
        <w:rPr>
          <w:color w:val="auto"/>
          <w:vertAlign w:val="baseline"/>
        </w:rPr>
        <w:t>wa</w:t>
      </w:r>
      <w:r>
        <w:rPr>
          <w:color w:val="auto"/>
          <w:vertAlign w:val="baseline"/>
        </w:rPr>
        <w:t xml:space="preserve">s outside of </w:t>
      </w:r>
      <w:r w:rsidR="00607270">
        <w:rPr>
          <w:color w:val="auto"/>
          <w:vertAlign w:val="baseline"/>
        </w:rPr>
        <w:t xml:space="preserve">the hearing official’s </w:t>
      </w:r>
      <w:r>
        <w:rPr>
          <w:color w:val="auto"/>
          <w:vertAlign w:val="baseline"/>
        </w:rPr>
        <w:t>consideration and irrelevant to</w:t>
      </w:r>
      <w:r w:rsidR="00CA751E">
        <w:rPr>
          <w:color w:val="auto"/>
          <w:vertAlign w:val="baseline"/>
        </w:rPr>
        <w:t xml:space="preserve"> the Initial Decision</w:t>
      </w:r>
      <w:r w:rsidR="0051236F">
        <w:rPr>
          <w:color w:val="auto"/>
          <w:vertAlign w:val="baseline"/>
        </w:rPr>
        <w:t xml:space="preserve">. </w:t>
      </w:r>
      <w:r w:rsidR="00AC258B">
        <w:rPr>
          <w:color w:val="auto"/>
          <w:vertAlign w:val="baseline"/>
        </w:rPr>
        <w:t xml:space="preserve"> </w:t>
      </w:r>
      <w:r w:rsidR="0051236F">
        <w:rPr>
          <w:color w:val="auto"/>
          <w:vertAlign w:val="baseline"/>
        </w:rPr>
        <w:t>I</w:t>
      </w:r>
      <w:r w:rsidR="003A1E3C">
        <w:rPr>
          <w:color w:val="auto"/>
          <w:vertAlign w:val="baseline"/>
        </w:rPr>
        <w:t>t</w:t>
      </w:r>
      <w:r w:rsidR="00CA751E">
        <w:rPr>
          <w:color w:val="auto"/>
          <w:vertAlign w:val="baseline"/>
        </w:rPr>
        <w:t xml:space="preserve"> remains so on appeal.</w:t>
      </w:r>
    </w:p>
    <w:p w:rsidR="00590D0E" w:rsidRDefault="00590D0E" w:rsidP="003B094F">
      <w:pPr>
        <w:pStyle w:val="Default"/>
        <w:ind w:firstLine="720"/>
        <w:rPr>
          <w:color w:val="auto"/>
          <w:vertAlign w:val="baseline"/>
        </w:rPr>
      </w:pPr>
    </w:p>
    <w:p w:rsidR="00590D0E" w:rsidRDefault="00590D0E" w:rsidP="00590D0E">
      <w:pPr>
        <w:pStyle w:val="Default"/>
        <w:ind w:firstLine="720"/>
        <w:rPr>
          <w:color w:val="auto"/>
          <w:vertAlign w:val="baseline"/>
        </w:rPr>
      </w:pPr>
      <w:r>
        <w:rPr>
          <w:color w:val="auto"/>
          <w:vertAlign w:val="baseline"/>
        </w:rPr>
        <w:t xml:space="preserve">As to Respondent’s claim that it had no clear notice, it </w:t>
      </w:r>
      <w:r w:rsidR="001B6D1E">
        <w:rPr>
          <w:color w:val="auto"/>
          <w:vertAlign w:val="baseline"/>
        </w:rPr>
        <w:t xml:space="preserve">is </w:t>
      </w:r>
      <w:r>
        <w:rPr>
          <w:color w:val="auto"/>
          <w:vertAlign w:val="baseline"/>
        </w:rPr>
        <w:t xml:space="preserve">apparent to me, in my reading of the Initial Decision, that the hearing official’s conclusion about RTI being on </w:t>
      </w:r>
      <w:r w:rsidR="001B6D1E">
        <w:rPr>
          <w:color w:val="auto"/>
          <w:vertAlign w:val="baseline"/>
        </w:rPr>
        <w:t>“</w:t>
      </w:r>
      <w:r>
        <w:rPr>
          <w:color w:val="auto"/>
          <w:vertAlign w:val="baseline"/>
        </w:rPr>
        <w:t>clear notice</w:t>
      </w:r>
      <w:r w:rsidR="001B6D1E">
        <w:rPr>
          <w:color w:val="auto"/>
          <w:vertAlign w:val="baseline"/>
        </w:rPr>
        <w:t>”</w:t>
      </w:r>
      <w:r>
        <w:rPr>
          <w:color w:val="auto"/>
          <w:vertAlign w:val="baseline"/>
        </w:rPr>
        <w:t xml:space="preserve"> references the fact that the inconsistencies in the record were </w:t>
      </w:r>
      <w:proofErr w:type="gramStart"/>
      <w:r>
        <w:rPr>
          <w:color w:val="auto"/>
          <w:vertAlign w:val="baseline"/>
        </w:rPr>
        <w:t>so</w:t>
      </w:r>
      <w:proofErr w:type="gramEnd"/>
      <w:r>
        <w:rPr>
          <w:color w:val="auto"/>
          <w:vertAlign w:val="baseline"/>
        </w:rPr>
        <w:t xml:space="preserve"> significant as to be obvious.  Thus, the discrepancies </w:t>
      </w:r>
      <w:r w:rsidR="005B42C6">
        <w:rPr>
          <w:color w:val="auto"/>
          <w:vertAlign w:val="baseline"/>
        </w:rPr>
        <w:t>were</w:t>
      </w:r>
      <w:r>
        <w:rPr>
          <w:color w:val="auto"/>
          <w:vertAlign w:val="baseline"/>
        </w:rPr>
        <w:t xml:space="preserve"> clearly visible</w:t>
      </w:r>
      <w:r w:rsidR="005B42C6">
        <w:rPr>
          <w:color w:val="auto"/>
          <w:vertAlign w:val="baseline"/>
        </w:rPr>
        <w:t>, rendering Respondent on “clear notice” of the defect</w:t>
      </w:r>
      <w:r w:rsidR="001B6D1E">
        <w:rPr>
          <w:color w:val="auto"/>
          <w:vertAlign w:val="baseline"/>
        </w:rPr>
        <w:t>s</w:t>
      </w:r>
      <w:r>
        <w:rPr>
          <w:color w:val="auto"/>
          <w:vertAlign w:val="baseline"/>
        </w:rPr>
        <w:t>.  To the extent that Respondent</w:t>
      </w:r>
      <w:r w:rsidR="00BB40CD">
        <w:rPr>
          <w:color w:val="auto"/>
          <w:vertAlign w:val="baseline"/>
        </w:rPr>
        <w:t xml:space="preserve"> ignored these inconsistencies</w:t>
      </w:r>
      <w:r>
        <w:rPr>
          <w:color w:val="auto"/>
          <w:vertAlign w:val="baseline"/>
        </w:rPr>
        <w:t xml:space="preserve">, the school failed in its duty to </w:t>
      </w:r>
      <w:r w:rsidRPr="00590D0E">
        <w:rPr>
          <w:color w:val="auto"/>
          <w:vertAlign w:val="baseline"/>
        </w:rPr>
        <w:t xml:space="preserve">the </w:t>
      </w:r>
      <w:r>
        <w:rPr>
          <w:color w:val="auto"/>
          <w:vertAlign w:val="baseline"/>
        </w:rPr>
        <w:t xml:space="preserve">Department to exercise the </w:t>
      </w:r>
      <w:r w:rsidRPr="00590D0E">
        <w:rPr>
          <w:color w:val="auto"/>
          <w:vertAlign w:val="baseline"/>
        </w:rPr>
        <w:t>highest standard of care and diligence to ensure the proper and</w:t>
      </w:r>
      <w:r>
        <w:rPr>
          <w:color w:val="auto"/>
          <w:vertAlign w:val="baseline"/>
        </w:rPr>
        <w:t xml:space="preserve"> efficient administration of its</w:t>
      </w:r>
      <w:r w:rsidRPr="00590D0E">
        <w:rPr>
          <w:color w:val="auto"/>
          <w:vertAlign w:val="baseline"/>
        </w:rPr>
        <w:t xml:space="preserve"> programs. 34 C.F.R. § </w:t>
      </w:r>
      <w:r>
        <w:rPr>
          <w:color w:val="auto"/>
          <w:vertAlign w:val="baseline"/>
        </w:rPr>
        <w:t>6</w:t>
      </w:r>
      <w:r w:rsidRPr="00590D0E">
        <w:rPr>
          <w:color w:val="auto"/>
          <w:vertAlign w:val="baseline"/>
        </w:rPr>
        <w:t>68.82(b).</w:t>
      </w:r>
      <w:r>
        <w:rPr>
          <w:color w:val="auto"/>
          <w:vertAlign w:val="baseline"/>
        </w:rPr>
        <w:t xml:space="preserve">  Moreover, if Respondent seeks actual notice of the errors contained in the students’ records, all it need do is </w:t>
      </w:r>
      <w:r w:rsidR="00AB203B">
        <w:rPr>
          <w:color w:val="auto"/>
          <w:vertAlign w:val="baseline"/>
        </w:rPr>
        <w:t>examine</w:t>
      </w:r>
      <w:r>
        <w:rPr>
          <w:color w:val="auto"/>
          <w:vertAlign w:val="baseline"/>
        </w:rPr>
        <w:t xml:space="preserve"> the Program Review Report issued by FSA on November 22, 2010.</w:t>
      </w:r>
      <w:r>
        <w:rPr>
          <w:rStyle w:val="FootnoteReference"/>
          <w:color w:val="auto"/>
        </w:rPr>
        <w:footnoteReference w:id="12"/>
      </w:r>
      <w:r w:rsidR="001B6D1E">
        <w:rPr>
          <w:color w:val="auto"/>
          <w:vertAlign w:val="baseline"/>
        </w:rPr>
        <w:t xml:space="preserve">  For these reasons, Respondent’s argument is without merit.</w:t>
      </w:r>
    </w:p>
    <w:p w:rsidR="00B65007" w:rsidRDefault="00B65007" w:rsidP="003B094F">
      <w:pPr>
        <w:pStyle w:val="Default"/>
        <w:ind w:firstLine="720"/>
        <w:rPr>
          <w:color w:val="auto"/>
          <w:vertAlign w:val="baseline"/>
        </w:rPr>
      </w:pPr>
    </w:p>
    <w:p w:rsidR="003F3050" w:rsidRDefault="00086D93" w:rsidP="00086D93">
      <w:pPr>
        <w:pStyle w:val="Default"/>
        <w:ind w:firstLine="720"/>
      </w:pPr>
      <w:r>
        <w:rPr>
          <w:color w:val="auto"/>
          <w:vertAlign w:val="baseline"/>
        </w:rPr>
        <w:t>Regarding the remaining arguments proffered by Respondent in its appeal before me, the</w:t>
      </w:r>
      <w:r w:rsidR="00D66CE9">
        <w:rPr>
          <w:color w:val="auto"/>
          <w:vertAlign w:val="baseline"/>
        </w:rPr>
        <w:t>y</w:t>
      </w:r>
      <w:r>
        <w:rPr>
          <w:color w:val="auto"/>
          <w:vertAlign w:val="baseline"/>
        </w:rPr>
        <w:t xml:space="preserve"> were raised in the proceeding below.  </w:t>
      </w:r>
      <w:r w:rsidR="009F2EBD">
        <w:rPr>
          <w:color w:val="auto"/>
          <w:vertAlign w:val="baseline"/>
        </w:rPr>
        <w:t xml:space="preserve">I find that </w:t>
      </w:r>
      <w:r w:rsidR="00FA37B0">
        <w:rPr>
          <w:color w:val="auto"/>
          <w:vertAlign w:val="baseline"/>
        </w:rPr>
        <w:t xml:space="preserve">Judge </w:t>
      </w:r>
      <w:proofErr w:type="spellStart"/>
      <w:r w:rsidR="00B65007">
        <w:rPr>
          <w:color w:val="auto"/>
          <w:vertAlign w:val="baseline"/>
        </w:rPr>
        <w:t>Canellos</w:t>
      </w:r>
      <w:proofErr w:type="spellEnd"/>
      <w:r w:rsidR="00B65007">
        <w:rPr>
          <w:color w:val="auto"/>
          <w:vertAlign w:val="baseline"/>
        </w:rPr>
        <w:t xml:space="preserve"> </w:t>
      </w:r>
      <w:r w:rsidR="009F2EBD">
        <w:rPr>
          <w:color w:val="auto"/>
          <w:vertAlign w:val="baseline"/>
        </w:rPr>
        <w:t>properly heard</w:t>
      </w:r>
      <w:r w:rsidR="00EA679A">
        <w:rPr>
          <w:color w:val="auto"/>
          <w:vertAlign w:val="baseline"/>
        </w:rPr>
        <w:t xml:space="preserve"> and reviewed</w:t>
      </w:r>
      <w:r w:rsidR="00FA37B0">
        <w:rPr>
          <w:color w:val="auto"/>
          <w:vertAlign w:val="baseline"/>
        </w:rPr>
        <w:t xml:space="preserve"> </w:t>
      </w:r>
      <w:r w:rsidR="00D66CE9">
        <w:rPr>
          <w:color w:val="auto"/>
          <w:vertAlign w:val="baseline"/>
        </w:rPr>
        <w:t xml:space="preserve">these </w:t>
      </w:r>
      <w:r w:rsidR="00FA37B0">
        <w:rPr>
          <w:color w:val="auto"/>
          <w:vertAlign w:val="baseline"/>
        </w:rPr>
        <w:t>arguments</w:t>
      </w:r>
      <w:r w:rsidR="009F2EBD">
        <w:rPr>
          <w:color w:val="auto"/>
          <w:vertAlign w:val="baseline"/>
        </w:rPr>
        <w:t xml:space="preserve"> and </w:t>
      </w:r>
      <w:r w:rsidR="00D66CE9">
        <w:rPr>
          <w:color w:val="auto"/>
          <w:vertAlign w:val="baseline"/>
        </w:rPr>
        <w:t xml:space="preserve">Respondent’s </w:t>
      </w:r>
      <w:r w:rsidR="009F2EBD">
        <w:rPr>
          <w:color w:val="auto"/>
          <w:vertAlign w:val="baseline"/>
        </w:rPr>
        <w:t>evidence</w:t>
      </w:r>
      <w:r>
        <w:rPr>
          <w:color w:val="auto"/>
          <w:vertAlign w:val="baseline"/>
        </w:rPr>
        <w:t xml:space="preserve">, and his determinations </w:t>
      </w:r>
      <w:r w:rsidR="00D66CE9">
        <w:rPr>
          <w:color w:val="auto"/>
          <w:vertAlign w:val="baseline"/>
        </w:rPr>
        <w:t>contain no reversible error</w:t>
      </w:r>
      <w:r>
        <w:rPr>
          <w:color w:val="auto"/>
          <w:vertAlign w:val="baseline"/>
        </w:rPr>
        <w:t xml:space="preserve">.  Nothing in Respondent’s appeal sheds new light on the two findings at issue, and for this reason, Respondent’s arguments are unavailing.  </w:t>
      </w:r>
    </w:p>
    <w:p w:rsidR="00EA679A" w:rsidRDefault="00EA679A" w:rsidP="003F3050">
      <w:pPr>
        <w:autoSpaceDE w:val="0"/>
        <w:autoSpaceDN w:val="0"/>
        <w:adjustRightInd w:val="0"/>
        <w:rPr>
          <w:sz w:val="24"/>
          <w:szCs w:val="24"/>
        </w:rPr>
      </w:pPr>
    </w:p>
    <w:p w:rsidR="00FA37B0" w:rsidRPr="003F3050" w:rsidRDefault="00FA37B0" w:rsidP="003F3050">
      <w:pPr>
        <w:autoSpaceDE w:val="0"/>
        <w:autoSpaceDN w:val="0"/>
        <w:adjustRightInd w:val="0"/>
        <w:rPr>
          <w:sz w:val="24"/>
          <w:szCs w:val="24"/>
        </w:rPr>
      </w:pPr>
    </w:p>
    <w:p w:rsidR="003F3050" w:rsidRPr="00B25E93" w:rsidRDefault="003F3050" w:rsidP="003F3050">
      <w:pPr>
        <w:autoSpaceDE w:val="0"/>
        <w:autoSpaceDN w:val="0"/>
        <w:adjustRightInd w:val="0"/>
        <w:jc w:val="center"/>
        <w:rPr>
          <w:b/>
          <w:sz w:val="24"/>
          <w:szCs w:val="24"/>
          <w:u w:val="single"/>
        </w:rPr>
      </w:pPr>
      <w:r w:rsidRPr="00B25E93">
        <w:rPr>
          <w:b/>
          <w:sz w:val="24"/>
          <w:szCs w:val="24"/>
          <w:u w:val="single"/>
        </w:rPr>
        <w:t>ORDER</w:t>
      </w:r>
    </w:p>
    <w:p w:rsidR="003F3050" w:rsidRDefault="003F3050" w:rsidP="003F3050">
      <w:pPr>
        <w:autoSpaceDE w:val="0"/>
        <w:autoSpaceDN w:val="0"/>
        <w:adjustRightInd w:val="0"/>
        <w:rPr>
          <w:sz w:val="24"/>
          <w:szCs w:val="24"/>
        </w:rPr>
      </w:pPr>
    </w:p>
    <w:p w:rsidR="005B5728" w:rsidRDefault="003F3050" w:rsidP="00890671">
      <w:pPr>
        <w:autoSpaceDE w:val="0"/>
        <w:autoSpaceDN w:val="0"/>
        <w:adjustRightInd w:val="0"/>
        <w:ind w:firstLine="720"/>
      </w:pPr>
      <w:r w:rsidRPr="003F3050">
        <w:rPr>
          <w:sz w:val="24"/>
          <w:szCs w:val="24"/>
        </w:rPr>
        <w:t>ACCORD</w:t>
      </w:r>
      <w:r>
        <w:rPr>
          <w:sz w:val="24"/>
          <w:szCs w:val="24"/>
        </w:rPr>
        <w:t>I</w:t>
      </w:r>
      <w:r w:rsidRPr="003F3050">
        <w:rPr>
          <w:sz w:val="24"/>
          <w:szCs w:val="24"/>
        </w:rPr>
        <w:t xml:space="preserve">NGLY, the Initial Decision by Administrative Judge </w:t>
      </w:r>
      <w:r w:rsidR="00471174">
        <w:rPr>
          <w:sz w:val="24"/>
          <w:szCs w:val="24"/>
        </w:rPr>
        <w:t xml:space="preserve">Ernest C. </w:t>
      </w:r>
      <w:proofErr w:type="spellStart"/>
      <w:r w:rsidR="00471174">
        <w:rPr>
          <w:sz w:val="24"/>
          <w:szCs w:val="24"/>
        </w:rPr>
        <w:t>Canellos</w:t>
      </w:r>
      <w:proofErr w:type="spellEnd"/>
      <w:r>
        <w:rPr>
          <w:sz w:val="24"/>
          <w:szCs w:val="24"/>
        </w:rPr>
        <w:t xml:space="preserve"> </w:t>
      </w:r>
      <w:r w:rsidRPr="003F3050">
        <w:rPr>
          <w:sz w:val="24"/>
          <w:szCs w:val="24"/>
        </w:rPr>
        <w:t xml:space="preserve">is </w:t>
      </w:r>
      <w:r w:rsidRPr="003F3050">
        <w:rPr>
          <w:rFonts w:eastAsia="HiddenHorzOCR"/>
          <w:sz w:val="24"/>
          <w:szCs w:val="24"/>
        </w:rPr>
        <w:t>H</w:t>
      </w:r>
      <w:r w:rsidR="00D75693">
        <w:rPr>
          <w:rFonts w:eastAsia="HiddenHorzOCR"/>
          <w:sz w:val="24"/>
          <w:szCs w:val="24"/>
        </w:rPr>
        <w:t>ER</w:t>
      </w:r>
      <w:r w:rsidRPr="003F3050">
        <w:rPr>
          <w:rFonts w:eastAsia="HiddenHorzOCR"/>
          <w:sz w:val="24"/>
          <w:szCs w:val="24"/>
        </w:rPr>
        <w:t xml:space="preserve">EBY </w:t>
      </w:r>
      <w:r w:rsidRPr="003F3050">
        <w:rPr>
          <w:sz w:val="24"/>
          <w:szCs w:val="24"/>
        </w:rPr>
        <w:t>AFFIRMED as the Final Decision o</w:t>
      </w:r>
      <w:r w:rsidR="00D75693">
        <w:rPr>
          <w:sz w:val="24"/>
          <w:szCs w:val="24"/>
        </w:rPr>
        <w:t xml:space="preserve">f </w:t>
      </w:r>
      <w:r w:rsidR="00890671">
        <w:rPr>
          <w:sz w:val="24"/>
          <w:szCs w:val="24"/>
        </w:rPr>
        <w:t>the Department</w:t>
      </w:r>
      <w:r w:rsidR="00FD66B0">
        <w:t xml:space="preserve">.  </w:t>
      </w:r>
    </w:p>
    <w:p w:rsidR="005B5728" w:rsidRDefault="005B5728" w:rsidP="00890671">
      <w:pPr>
        <w:autoSpaceDE w:val="0"/>
        <w:autoSpaceDN w:val="0"/>
        <w:adjustRightInd w:val="0"/>
        <w:ind w:firstLine="720"/>
      </w:pPr>
    </w:p>
    <w:p w:rsidR="00446919" w:rsidRDefault="00890671" w:rsidP="00890671">
      <w:pPr>
        <w:autoSpaceDE w:val="0"/>
        <w:autoSpaceDN w:val="0"/>
        <w:adjustRightInd w:val="0"/>
        <w:ind w:firstLine="720"/>
        <w:rPr>
          <w:sz w:val="24"/>
          <w:szCs w:val="24"/>
        </w:rPr>
      </w:pPr>
      <w:r w:rsidRPr="00890671">
        <w:rPr>
          <w:sz w:val="24"/>
          <w:szCs w:val="24"/>
        </w:rPr>
        <w:t>IT IS HEREBY ORDERED that Respondent shall pay the U.S. Department of Education $</w:t>
      </w:r>
      <w:r>
        <w:rPr>
          <w:sz w:val="24"/>
          <w:szCs w:val="24"/>
        </w:rPr>
        <w:t>61,730</w:t>
      </w:r>
      <w:r w:rsidRPr="00890671">
        <w:rPr>
          <w:sz w:val="24"/>
          <w:szCs w:val="24"/>
        </w:rPr>
        <w:t>.</w:t>
      </w:r>
    </w:p>
    <w:p w:rsidR="003F3050" w:rsidRPr="003F3050" w:rsidRDefault="003F3050" w:rsidP="003F3050">
      <w:pPr>
        <w:autoSpaceDE w:val="0"/>
        <w:autoSpaceDN w:val="0"/>
        <w:adjustRightInd w:val="0"/>
        <w:rPr>
          <w:sz w:val="24"/>
          <w:szCs w:val="24"/>
        </w:rPr>
      </w:pPr>
    </w:p>
    <w:p w:rsidR="003F3050" w:rsidRDefault="005D6E59" w:rsidP="005D6E59">
      <w:pPr>
        <w:autoSpaceDE w:val="0"/>
        <w:autoSpaceDN w:val="0"/>
        <w:adjustRightInd w:val="0"/>
        <w:ind w:firstLine="720"/>
        <w:rPr>
          <w:sz w:val="24"/>
          <w:szCs w:val="24"/>
        </w:rPr>
      </w:pPr>
      <w:r>
        <w:rPr>
          <w:sz w:val="24"/>
          <w:szCs w:val="24"/>
        </w:rPr>
        <w:lastRenderedPageBreak/>
        <w:t xml:space="preserve">So ordered this </w:t>
      </w:r>
      <w:r w:rsidR="00AC258B">
        <w:rPr>
          <w:sz w:val="24"/>
          <w:szCs w:val="24"/>
        </w:rPr>
        <w:t>20</w:t>
      </w:r>
      <w:r w:rsidRPr="005D6E59">
        <w:rPr>
          <w:sz w:val="24"/>
          <w:szCs w:val="24"/>
          <w:vertAlign w:val="superscript"/>
        </w:rPr>
        <w:t>th</w:t>
      </w:r>
      <w:r>
        <w:rPr>
          <w:sz w:val="24"/>
          <w:szCs w:val="24"/>
        </w:rPr>
        <w:t xml:space="preserve"> </w:t>
      </w:r>
      <w:r w:rsidR="003F3050" w:rsidRPr="003F3050">
        <w:rPr>
          <w:sz w:val="24"/>
          <w:szCs w:val="24"/>
        </w:rPr>
        <w:t xml:space="preserve">day of </w:t>
      </w:r>
      <w:r w:rsidR="007D4801">
        <w:rPr>
          <w:sz w:val="24"/>
          <w:szCs w:val="24"/>
        </w:rPr>
        <w:t>October</w:t>
      </w:r>
      <w:r w:rsidR="007D4801" w:rsidRPr="003F3050">
        <w:rPr>
          <w:sz w:val="24"/>
          <w:szCs w:val="24"/>
        </w:rPr>
        <w:t xml:space="preserve"> </w:t>
      </w:r>
      <w:r w:rsidR="003F3050">
        <w:rPr>
          <w:sz w:val="24"/>
          <w:szCs w:val="24"/>
        </w:rPr>
        <w:t>2014</w:t>
      </w:r>
      <w:r w:rsidR="003F3050" w:rsidRPr="003F3050">
        <w:rPr>
          <w:sz w:val="24"/>
          <w:szCs w:val="24"/>
        </w:rPr>
        <w:t>.</w:t>
      </w:r>
    </w:p>
    <w:p w:rsidR="00A711B4" w:rsidRDefault="00A711B4" w:rsidP="003F3050">
      <w:pPr>
        <w:autoSpaceDE w:val="0"/>
        <w:autoSpaceDN w:val="0"/>
        <w:adjustRightInd w:val="0"/>
        <w:rPr>
          <w:sz w:val="24"/>
          <w:szCs w:val="24"/>
        </w:rPr>
      </w:pPr>
    </w:p>
    <w:p w:rsidR="00A711B4" w:rsidRDefault="00A711B4" w:rsidP="003F3050">
      <w:pPr>
        <w:autoSpaceDE w:val="0"/>
        <w:autoSpaceDN w:val="0"/>
        <w:adjustRightInd w:val="0"/>
        <w:rPr>
          <w:sz w:val="24"/>
          <w:szCs w:val="24"/>
        </w:rPr>
      </w:pPr>
    </w:p>
    <w:p w:rsidR="00A711B4" w:rsidRDefault="000D524D" w:rsidP="003F3050">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w:t>
      </w:r>
    </w:p>
    <w:p w:rsidR="00A711B4" w:rsidRDefault="00A711B4" w:rsidP="003F3050">
      <w:pPr>
        <w:autoSpaceDE w:val="0"/>
        <w:autoSpaceDN w:val="0"/>
        <w:adjustRightInd w:val="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2682910</wp:posOffset>
                </wp:positionH>
                <wp:positionV relativeFrom="paragraph">
                  <wp:posOffset>161025</wp:posOffset>
                </wp:positionV>
                <wp:extent cx="2144904"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144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FD55E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25pt,12.7pt" to="380.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" strokecolor="black [3040]"/>
            </w:pict>
          </mc:Fallback>
        </mc:AlternateContent>
      </w:r>
    </w:p>
    <w:p w:rsidR="00A711B4" w:rsidRDefault="00A711B4" w:rsidP="003F3050">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Arne Duncan</w:t>
      </w:r>
      <w:r>
        <w:rPr>
          <w:sz w:val="24"/>
          <w:szCs w:val="24"/>
        </w:rPr>
        <w:tab/>
      </w:r>
    </w:p>
    <w:p w:rsidR="00A711B4" w:rsidRDefault="00A711B4" w:rsidP="003F3050">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711B4" w:rsidRDefault="00A711B4" w:rsidP="003F3050">
      <w:pPr>
        <w:autoSpaceDE w:val="0"/>
        <w:autoSpaceDN w:val="0"/>
        <w:adjustRightInd w:val="0"/>
        <w:rPr>
          <w:sz w:val="24"/>
          <w:szCs w:val="24"/>
        </w:rPr>
      </w:pPr>
      <w:r>
        <w:rPr>
          <w:sz w:val="24"/>
          <w:szCs w:val="24"/>
        </w:rPr>
        <w:t>Washington, D.C.</w:t>
      </w:r>
      <w:bookmarkStart w:id="0" w:name="_GoBack"/>
      <w:bookmarkEnd w:id="0"/>
    </w:p>
    <w:sectPr w:rsidR="00A71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6E" w:rsidRDefault="008D116E" w:rsidP="00E32E98">
      <w:r>
        <w:separator/>
      </w:r>
    </w:p>
  </w:endnote>
  <w:endnote w:type="continuationSeparator" w:id="0">
    <w:p w:rsidR="008D116E" w:rsidRDefault="008D116E" w:rsidP="00E3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6E" w:rsidRDefault="008D116E" w:rsidP="00E32E98">
      <w:r>
        <w:separator/>
      </w:r>
    </w:p>
  </w:footnote>
  <w:footnote w:type="continuationSeparator" w:id="0">
    <w:p w:rsidR="008D116E" w:rsidRDefault="008D116E" w:rsidP="00E32E98">
      <w:r>
        <w:continuationSeparator/>
      </w:r>
    </w:p>
  </w:footnote>
  <w:footnote w:id="1">
    <w:p w:rsidR="00471174" w:rsidRDefault="00471174" w:rsidP="00A2037F">
      <w:pPr>
        <w:textAlignment w:val="top"/>
      </w:pPr>
      <w:r>
        <w:rPr>
          <w:rStyle w:val="FootnoteReference"/>
        </w:rPr>
        <w:footnoteRef/>
      </w:r>
      <w:r>
        <w:t xml:space="preserve"> The Program Review Report, issued on November 22, 2010</w:t>
      </w:r>
      <w:r w:rsidR="007D4801">
        <w:t>,</w:t>
      </w:r>
      <w:r>
        <w:t xml:space="preserve"> by FSA, contained seven findings.  In the FRPD, two findings (1 and 7) were deemed closed due to the corrective action taken by the institution.  </w:t>
      </w:r>
      <w:r w:rsidR="00F26CE5">
        <w:t>Of the t</w:t>
      </w:r>
      <w:r>
        <w:t>wo additional findings</w:t>
      </w:r>
      <w:r w:rsidR="00F26CE5">
        <w:t xml:space="preserve">, </w:t>
      </w:r>
      <w:r w:rsidR="00B5602E">
        <w:t xml:space="preserve">Finding </w:t>
      </w:r>
      <w:r>
        <w:t>#4</w:t>
      </w:r>
      <w:r w:rsidR="00FE1DE2">
        <w:t xml:space="preserve"> (misrepresentation)</w:t>
      </w:r>
      <w:r>
        <w:t xml:space="preserve"> w</w:t>
      </w:r>
      <w:r w:rsidR="00F26CE5">
        <w:t>as</w:t>
      </w:r>
      <w:r>
        <w:t xml:space="preserve"> </w:t>
      </w:r>
      <w:r w:rsidR="00FE1DE2">
        <w:t>deemed resolved because Respondent had ceased participating</w:t>
      </w:r>
      <w:r w:rsidR="00F26CE5">
        <w:t xml:space="preserve"> in Title IV programs, and the liabilities associated with #5 were addressed</w:t>
      </w:r>
      <w:r w:rsidR="00F44BD8">
        <w:t xml:space="preserve"> and included under</w:t>
      </w:r>
      <w:r w:rsidR="00F26CE5">
        <w:t xml:space="preserve"> </w:t>
      </w:r>
      <w:r w:rsidR="00B5602E">
        <w:t>F</w:t>
      </w:r>
      <w:r w:rsidR="00F26CE5">
        <w:t>inding #6.</w:t>
      </w:r>
      <w:r>
        <w:t xml:space="preserve">  </w:t>
      </w:r>
      <w:r w:rsidR="00F26CE5">
        <w:t xml:space="preserve">Although </w:t>
      </w:r>
      <w:r w:rsidR="00E41CAF">
        <w:t xml:space="preserve">only </w:t>
      </w:r>
      <w:r w:rsidR="00F26CE5">
        <w:t>two findings (3 and 6) had associated liability, Respondent</w:t>
      </w:r>
      <w:r w:rsidR="00F44BD8">
        <w:t xml:space="preserve"> nevertheless</w:t>
      </w:r>
      <w:r w:rsidR="00F26CE5">
        <w:t xml:space="preserve"> appealed </w:t>
      </w:r>
      <w:r w:rsidR="00E41CAF">
        <w:t>three</w:t>
      </w:r>
      <w:r>
        <w:t xml:space="preserve"> findings: 3, 4</w:t>
      </w:r>
      <w:r w:rsidR="00AC258B">
        <w:t>,</w:t>
      </w:r>
      <w:r>
        <w:t xml:space="preserve"> and 6.  </w:t>
      </w:r>
      <w:r w:rsidR="005B7207">
        <w:t xml:space="preserve"> </w:t>
      </w:r>
      <w:r w:rsidR="005B7207" w:rsidRPr="00C136CB">
        <w:rPr>
          <w:i/>
        </w:rPr>
        <w:t>See</w:t>
      </w:r>
      <w:r w:rsidR="005B7207">
        <w:t xml:space="preserve">, </w:t>
      </w:r>
      <w:r w:rsidR="00B5602E">
        <w:t>FSA</w:t>
      </w:r>
      <w:r w:rsidR="005B7207">
        <w:t xml:space="preserve"> ex</w:t>
      </w:r>
      <w:r w:rsidR="00206EB4">
        <w:t>. 2-9.</w:t>
      </w:r>
      <w:r w:rsidR="00B5602E">
        <w:t xml:space="preserve"> </w:t>
      </w:r>
      <w:r w:rsidR="00206EB4">
        <w:t xml:space="preserve"> </w:t>
      </w:r>
      <w:r w:rsidR="005B7207">
        <w:t xml:space="preserve">A narrative of </w:t>
      </w:r>
      <w:r w:rsidR="00B073FD">
        <w:t xml:space="preserve">the </w:t>
      </w:r>
      <w:r w:rsidR="005B7207">
        <w:t xml:space="preserve">final determination for </w:t>
      </w:r>
      <w:r w:rsidR="00B5602E">
        <w:t>F</w:t>
      </w:r>
      <w:r w:rsidR="00FE1DE2">
        <w:t>inding #4</w:t>
      </w:r>
      <w:r w:rsidR="005B7207">
        <w:t xml:space="preserve"> was included in the </w:t>
      </w:r>
      <w:r w:rsidR="00AC258B">
        <w:t>FPRD</w:t>
      </w:r>
      <w:r w:rsidR="005B7207">
        <w:t xml:space="preserve"> to preserve the issue should Respondent resume participation in Title IV programs.  </w:t>
      </w:r>
      <w:r w:rsidR="005B7207" w:rsidRPr="00C136CB">
        <w:rPr>
          <w:i/>
        </w:rPr>
        <w:t>Id</w:t>
      </w:r>
      <w:r w:rsidR="005B7207">
        <w:t xml:space="preserve">.  </w:t>
      </w:r>
      <w:r w:rsidR="001305D0">
        <w:t>H</w:t>
      </w:r>
      <w:r w:rsidR="00B073FD">
        <w:t xml:space="preserve">owever, </w:t>
      </w:r>
      <w:r w:rsidR="00F52B9F">
        <w:t xml:space="preserve">the </w:t>
      </w:r>
      <w:r w:rsidR="00D1571E">
        <w:t>hearing official</w:t>
      </w:r>
      <w:r w:rsidR="00F52B9F">
        <w:t xml:space="preserve"> declined to address Finding #4</w:t>
      </w:r>
      <w:r w:rsidR="00F44BD8">
        <w:t xml:space="preserve"> in the Initial Decision</w:t>
      </w:r>
      <w:r w:rsidR="00F52B9F">
        <w:t xml:space="preserve"> as </w:t>
      </w:r>
      <w:r w:rsidR="005B7207">
        <w:t>it is beyond the jurisdiction of the lower tribunal</w:t>
      </w:r>
      <w:r w:rsidR="00206EB4">
        <w:t xml:space="preserve"> to </w:t>
      </w:r>
      <w:r w:rsidR="00F52B9F">
        <w:t xml:space="preserve">adjudicate </w:t>
      </w:r>
      <w:r w:rsidR="001305D0">
        <w:t xml:space="preserve">findings </w:t>
      </w:r>
      <w:r w:rsidR="00F52B9F">
        <w:t>under subpart H that are without at</w:t>
      </w:r>
      <w:r w:rsidR="001305D0">
        <w:t>tached liabilities</w:t>
      </w:r>
      <w:r w:rsidR="005B7207">
        <w:t xml:space="preserve">.  </w:t>
      </w:r>
      <w:r w:rsidR="00C136CB" w:rsidRPr="00B073FD">
        <w:rPr>
          <w:i/>
        </w:rPr>
        <w:t>See</w:t>
      </w:r>
      <w:r w:rsidR="00C136CB">
        <w:t>,</w:t>
      </w:r>
      <w:r w:rsidR="00B073FD">
        <w:t xml:space="preserve"> </w:t>
      </w:r>
      <w:r w:rsidR="002E36C6" w:rsidRPr="002E36C6">
        <w:rPr>
          <w:i/>
        </w:rPr>
        <w:t>e.g.</w:t>
      </w:r>
      <w:r w:rsidR="002E36C6">
        <w:t xml:space="preserve">, </w:t>
      </w:r>
      <w:r w:rsidR="00C136CB" w:rsidRPr="00B073FD">
        <w:rPr>
          <w:i/>
        </w:rPr>
        <w:t xml:space="preserve">In </w:t>
      </w:r>
      <w:r w:rsidR="00B073FD" w:rsidRPr="00B073FD">
        <w:rPr>
          <w:i/>
        </w:rPr>
        <w:t xml:space="preserve">re </w:t>
      </w:r>
      <w:r w:rsidR="00C136CB" w:rsidRPr="00B073FD">
        <w:rPr>
          <w:i/>
        </w:rPr>
        <w:t>Louise’s Beauty College</w:t>
      </w:r>
      <w:r w:rsidR="00C136CB">
        <w:t xml:space="preserve">, </w:t>
      </w:r>
      <w:proofErr w:type="spellStart"/>
      <w:r w:rsidR="00C136CB">
        <w:t>Dkt</w:t>
      </w:r>
      <w:proofErr w:type="spellEnd"/>
      <w:r w:rsidR="00C136CB">
        <w:t xml:space="preserve">. No. 95-48-SP, U.S. Dep’t of Educ. (April 17, 1996); </w:t>
      </w:r>
      <w:r w:rsidR="00C136CB" w:rsidRPr="00B073FD">
        <w:rPr>
          <w:i/>
        </w:rPr>
        <w:t xml:space="preserve">In </w:t>
      </w:r>
      <w:r w:rsidR="00B073FD" w:rsidRPr="00B073FD">
        <w:rPr>
          <w:i/>
        </w:rPr>
        <w:t xml:space="preserve">re </w:t>
      </w:r>
      <w:r w:rsidR="00C136CB" w:rsidRPr="00B073FD">
        <w:rPr>
          <w:i/>
        </w:rPr>
        <w:t>Chicago State University</w:t>
      </w:r>
      <w:r w:rsidR="00C136CB">
        <w:t xml:space="preserve">, </w:t>
      </w:r>
      <w:proofErr w:type="spellStart"/>
      <w:r w:rsidR="00C136CB">
        <w:t>Dkt</w:t>
      </w:r>
      <w:proofErr w:type="spellEnd"/>
      <w:r w:rsidR="00C136CB">
        <w:t xml:space="preserve">. No. 94-172-SA, U.S. Dep’t of Educ. (April 26, 1996); </w:t>
      </w:r>
      <w:r w:rsidR="00B073FD" w:rsidRPr="00B073FD">
        <w:rPr>
          <w:i/>
        </w:rPr>
        <w:t xml:space="preserve">In </w:t>
      </w:r>
      <w:proofErr w:type="spellStart"/>
      <w:r w:rsidR="00B073FD" w:rsidRPr="00B073FD">
        <w:rPr>
          <w:i/>
        </w:rPr>
        <w:t>re</w:t>
      </w:r>
      <w:proofErr w:type="spellEnd"/>
      <w:r w:rsidR="00B073FD" w:rsidRPr="00B073FD">
        <w:rPr>
          <w:i/>
        </w:rPr>
        <w:t xml:space="preserve"> Barber-Scotia College</w:t>
      </w:r>
      <w:r w:rsidR="00B073FD">
        <w:t xml:space="preserve">, </w:t>
      </w:r>
      <w:proofErr w:type="spellStart"/>
      <w:r w:rsidR="00B073FD">
        <w:t>Dkt</w:t>
      </w:r>
      <w:proofErr w:type="spellEnd"/>
      <w:r w:rsidR="00B073FD">
        <w:t xml:space="preserve">. No. </w:t>
      </w:r>
      <w:r w:rsidR="00B073FD" w:rsidRPr="00B073FD">
        <w:t xml:space="preserve">99-26-SA, U.S. Dep’t of Educ. (December 7, 1999); </w:t>
      </w:r>
      <w:r w:rsidR="00A2037F" w:rsidRPr="00A2037F">
        <w:rPr>
          <w:i/>
        </w:rPr>
        <w:t xml:space="preserve">In re La </w:t>
      </w:r>
      <w:proofErr w:type="spellStart"/>
      <w:r w:rsidR="00A2037F" w:rsidRPr="00A2037F">
        <w:rPr>
          <w:i/>
        </w:rPr>
        <w:t>Lan</w:t>
      </w:r>
      <w:proofErr w:type="spellEnd"/>
      <w:r w:rsidR="00A2037F" w:rsidRPr="00A2037F">
        <w:rPr>
          <w:i/>
        </w:rPr>
        <w:t xml:space="preserve"> 2000 Computer Training Center</w:t>
      </w:r>
      <w:r w:rsidR="00A2037F">
        <w:t xml:space="preserve">, </w:t>
      </w:r>
      <w:proofErr w:type="spellStart"/>
      <w:r w:rsidR="00A2037F">
        <w:t>Dkt</w:t>
      </w:r>
      <w:proofErr w:type="spellEnd"/>
      <w:r w:rsidR="00A2037F">
        <w:t>. No. 05-50-SP, U.S. Dep’t of Educ. (</w:t>
      </w:r>
      <w:r w:rsidR="00A2037F" w:rsidRPr="00A2037F">
        <w:t>August 20, 2010</w:t>
      </w:r>
      <w:r w:rsidR="00A2037F">
        <w:t xml:space="preserve">); </w:t>
      </w:r>
      <w:r w:rsidR="00B073FD">
        <w:t xml:space="preserve">and </w:t>
      </w:r>
      <w:hyperlink r:id="rId1" w:tgtFrame="_self" w:history="1">
        <w:r w:rsidR="00B073FD" w:rsidRPr="00B073FD">
          <w:rPr>
            <w:i/>
          </w:rPr>
          <w:t>In re Virginia Polytechnic Institute and State</w:t>
        </w:r>
        <w:r w:rsidR="00B073FD" w:rsidRPr="00B073FD">
          <w:t xml:space="preserve"> </w:t>
        </w:r>
        <w:r w:rsidR="00B073FD" w:rsidRPr="00B073FD">
          <w:rPr>
            <w:i/>
          </w:rPr>
          <w:t>University</w:t>
        </w:r>
      </w:hyperlink>
      <w:r w:rsidR="00B073FD">
        <w:rPr>
          <w:color w:val="000000"/>
        </w:rPr>
        <w:t xml:space="preserve">, </w:t>
      </w:r>
      <w:proofErr w:type="spellStart"/>
      <w:r w:rsidR="00B073FD">
        <w:rPr>
          <w:color w:val="000000"/>
        </w:rPr>
        <w:t>Dkt</w:t>
      </w:r>
      <w:proofErr w:type="spellEnd"/>
      <w:r w:rsidR="00B073FD">
        <w:rPr>
          <w:color w:val="000000"/>
        </w:rPr>
        <w:t xml:space="preserve">. No. </w:t>
      </w:r>
      <w:r w:rsidR="00B073FD" w:rsidRPr="00C136CB">
        <w:rPr>
          <w:color w:val="000000"/>
        </w:rPr>
        <w:t>11-30-SF</w:t>
      </w:r>
      <w:r w:rsidR="00B073FD">
        <w:rPr>
          <w:color w:val="000000"/>
        </w:rPr>
        <w:t>, U.S. Dep’t of Educ. (</w:t>
      </w:r>
      <w:r w:rsidR="00B073FD" w:rsidRPr="00C136CB">
        <w:rPr>
          <w:color w:val="000000"/>
        </w:rPr>
        <w:t>March 29, 2012</w:t>
      </w:r>
      <w:r w:rsidR="00B073FD">
        <w:rPr>
          <w:color w:val="000000"/>
        </w:rPr>
        <w:t xml:space="preserve">). </w:t>
      </w:r>
      <w:r w:rsidR="00D1571E">
        <w:t xml:space="preserve">For this reason, Judge </w:t>
      </w:r>
      <w:proofErr w:type="spellStart"/>
      <w:r w:rsidR="00D1571E">
        <w:t>Canellos</w:t>
      </w:r>
      <w:proofErr w:type="spellEnd"/>
      <w:r w:rsidR="00D1571E">
        <w:t xml:space="preserve"> </w:t>
      </w:r>
      <w:r w:rsidR="005B7207">
        <w:t>did not address Respondent’s appeal of Finding #4</w:t>
      </w:r>
      <w:r w:rsidR="002A0EC8">
        <w:t>, and I do not as well</w:t>
      </w:r>
      <w:r w:rsidR="005B7207">
        <w:t>.</w:t>
      </w:r>
      <w:r w:rsidR="00E41CAF">
        <w:t xml:space="preserve">  </w:t>
      </w:r>
    </w:p>
  </w:footnote>
  <w:footnote w:id="2">
    <w:p w:rsidR="007B5005" w:rsidRDefault="007B5005">
      <w:pPr>
        <w:pStyle w:val="FootnoteText"/>
      </w:pPr>
      <w:r>
        <w:rPr>
          <w:rStyle w:val="FootnoteReference"/>
        </w:rPr>
        <w:footnoteRef/>
      </w:r>
      <w:r>
        <w:t xml:space="preserve"> The final amount </w:t>
      </w:r>
      <w:r w:rsidR="007D4801">
        <w:t xml:space="preserve">comprises </w:t>
      </w:r>
      <w:r>
        <w:t>$49,953 for Finding #3 and $11,777 for Finding #6.  Both findings include liabilities for Pell Grants ($40,125 and $5,623 respectively)</w:t>
      </w:r>
      <w:r w:rsidR="00B86363">
        <w:t xml:space="preserve">, </w:t>
      </w:r>
      <w:r>
        <w:t>Direct Loans</w:t>
      </w:r>
      <w:r w:rsidR="00B86363">
        <w:t xml:space="preserve"> </w:t>
      </w:r>
      <w:r>
        <w:t>($</w:t>
      </w:r>
      <w:r w:rsidR="00B86363">
        <w:t>9,669</w:t>
      </w:r>
      <w:r>
        <w:t xml:space="preserve"> and </w:t>
      </w:r>
      <w:r w:rsidR="00B86363">
        <w:t xml:space="preserve">$6,114 respectively) and the cost of funds lost ($159 and $40 respectively). </w:t>
      </w:r>
    </w:p>
  </w:footnote>
  <w:footnote w:id="3">
    <w:p w:rsidR="00EF4DF8" w:rsidRDefault="00EF4DF8">
      <w:pPr>
        <w:pStyle w:val="FootnoteText"/>
      </w:pPr>
      <w:r>
        <w:rPr>
          <w:rStyle w:val="FootnoteReference"/>
        </w:rPr>
        <w:footnoteRef/>
      </w:r>
      <w:r>
        <w:t xml:space="preserve"> Respondent states that it believes “the </w:t>
      </w:r>
      <w:r w:rsidRPr="004D79AA">
        <w:rPr>
          <w:u w:val="single"/>
        </w:rPr>
        <w:t>Tribunal</w:t>
      </w:r>
      <w:r>
        <w:t xml:space="preserve"> should issue a decision dismissing the </w:t>
      </w:r>
      <w:r w:rsidRPr="004D79AA">
        <w:rPr>
          <w:u w:val="single"/>
        </w:rPr>
        <w:t>FPRD Report</w:t>
      </w:r>
      <w:r>
        <w:t>…”</w:t>
      </w:r>
      <w:r w:rsidR="004D79AA">
        <w:t xml:space="preserve"> (</w:t>
      </w:r>
      <w:proofErr w:type="gramStart"/>
      <w:r w:rsidR="004D79AA">
        <w:t>emphasis</w:t>
      </w:r>
      <w:proofErr w:type="gramEnd"/>
      <w:r w:rsidR="004D79AA">
        <w:t xml:space="preserve"> added).</w:t>
      </w:r>
      <w:r>
        <w:t xml:space="preserve">  </w:t>
      </w:r>
      <w:r w:rsidR="004D79AA" w:rsidRPr="004D79AA">
        <w:rPr>
          <w:i/>
        </w:rPr>
        <w:t>See</w:t>
      </w:r>
      <w:r w:rsidR="004D79AA">
        <w:t xml:space="preserve">, </w:t>
      </w:r>
      <w:r>
        <w:t>Frankie Solomon, Correspondence to the Secretary (dated December 10, 2012; d</w:t>
      </w:r>
      <w:r w:rsidR="005A4DB6">
        <w:t>ate stamped</w:t>
      </w:r>
      <w:r>
        <w:t xml:space="preserve"> May 17, 2013), unnumbered p. </w:t>
      </w:r>
      <w:r w:rsidR="00C7587E">
        <w:t>4 (hereafter referred to as “R</w:t>
      </w:r>
      <w:r w:rsidR="001876A6">
        <w:t>TI</w:t>
      </w:r>
      <w:r w:rsidR="00C7587E">
        <w:t xml:space="preserve"> brief”).</w:t>
      </w:r>
      <w:r w:rsidR="009E532A">
        <w:t xml:space="preserve">  I note, as did </w:t>
      </w:r>
      <w:r w:rsidR="005C348A">
        <w:t xml:space="preserve">counsel for FSA in its brief, that with the exception of the first three paragraphs in its appeal to me, Respondent submitted verbatim the reply brief that it submitted to Judge </w:t>
      </w:r>
      <w:proofErr w:type="spellStart"/>
      <w:r w:rsidR="005C348A">
        <w:t>Canellos</w:t>
      </w:r>
      <w:proofErr w:type="spellEnd"/>
      <w:r w:rsidR="005C348A">
        <w:t xml:space="preserve"> on December 10, 2012.  Responden</w:t>
      </w:r>
      <w:r w:rsidR="00EC3F3C">
        <w:t xml:space="preserve">t, however, </w:t>
      </w:r>
      <w:r w:rsidR="005C348A">
        <w:t>neglected to change the date on the appeal</w:t>
      </w:r>
      <w:r w:rsidR="00EC3F3C">
        <w:t xml:space="preserve"> </w:t>
      </w:r>
      <w:r w:rsidR="005C348A">
        <w:t>or any language therein, which would explain why Respondent urges the tribunal to dismiss the FPRD</w:t>
      </w:r>
      <w:r w:rsidR="00EC3F3C">
        <w:t xml:space="preserve">, rather than </w:t>
      </w:r>
      <w:r w:rsidR="004D79AA">
        <w:t xml:space="preserve">requesting that I </w:t>
      </w:r>
      <w:r w:rsidR="00EC3F3C">
        <w:t xml:space="preserve">act on </w:t>
      </w:r>
      <w:r w:rsidR="004D79AA">
        <w:t>the Initial D</w:t>
      </w:r>
      <w:r w:rsidR="00EC3F3C">
        <w:t>ecision</w:t>
      </w:r>
      <w:r w:rsidR="005C348A">
        <w:t>.</w:t>
      </w:r>
      <w:r w:rsidR="006649B9">
        <w:t xml:space="preserve">  </w:t>
      </w:r>
      <w:r w:rsidR="006649B9" w:rsidRPr="004D79AA">
        <w:rPr>
          <w:i/>
        </w:rPr>
        <w:t>See</w:t>
      </w:r>
      <w:r w:rsidR="004D79AA">
        <w:t xml:space="preserve">, </w:t>
      </w:r>
      <w:r w:rsidR="006649B9">
        <w:t>Reply Brief of the U.S. Department of Education’s Office of Federal Student Aid to Respondent’s Appeal to the Secretary (June 21, 2013), fn. 3</w:t>
      </w:r>
      <w:r w:rsidR="00214519">
        <w:t>, p. 3</w:t>
      </w:r>
      <w:r w:rsidR="006649B9">
        <w:t xml:space="preserve"> (hereafter referred to as “FSA brief”).</w:t>
      </w:r>
    </w:p>
  </w:footnote>
  <w:footnote w:id="4">
    <w:p w:rsidR="00B27BB3" w:rsidRDefault="00B27BB3">
      <w:pPr>
        <w:pStyle w:val="FootnoteText"/>
      </w:pPr>
      <w:r>
        <w:rPr>
          <w:rStyle w:val="FootnoteReference"/>
        </w:rPr>
        <w:footnoteRef/>
      </w:r>
      <w:r>
        <w:t xml:space="preserve"> Respondent’s filing enumerates three bases for its appeal; however, the first </w:t>
      </w:r>
      <w:r w:rsidR="00EB26DF">
        <w:t>argument</w:t>
      </w:r>
      <w:r>
        <w:t xml:space="preserve"> </w:t>
      </w:r>
      <w:r w:rsidR="005236AB">
        <w:t>listed concerns</w:t>
      </w:r>
      <w:r>
        <w:t xml:space="preserve"> the issue of misrepresentation (the subject of Finding #4), so it is, in fact, du</w:t>
      </w:r>
      <w:r w:rsidR="005236AB">
        <w:t>plicative of the argument raised in the proceeding below</w:t>
      </w:r>
      <w:r>
        <w:t xml:space="preserve">.  As discussed </w:t>
      </w:r>
      <w:r w:rsidR="00EB26DF">
        <w:t>above</w:t>
      </w:r>
      <w:r>
        <w:t xml:space="preserve">, this finding had no attached liabilities and was therefore beyond the </w:t>
      </w:r>
      <w:r w:rsidR="00EB26DF">
        <w:t>hearing official’s</w:t>
      </w:r>
      <w:r>
        <w:t xml:space="preserve"> review.  For this reason, I also decline to address the argument.</w:t>
      </w:r>
    </w:p>
  </w:footnote>
  <w:footnote w:id="5">
    <w:p w:rsidR="00806472" w:rsidRDefault="00806472" w:rsidP="00806472">
      <w:pPr>
        <w:pStyle w:val="FootnoteText"/>
      </w:pPr>
      <w:r>
        <w:rPr>
          <w:rStyle w:val="FootnoteReference"/>
        </w:rPr>
        <w:footnoteRef/>
      </w:r>
      <w:r>
        <w:t xml:space="preserve"> Respondent also addresses Finding #3 on unnumbered pages two and three of its appeal.  </w:t>
      </w:r>
    </w:p>
  </w:footnote>
  <w:footnote w:id="6">
    <w:p w:rsidR="00916D31" w:rsidRDefault="00916D31">
      <w:pPr>
        <w:pStyle w:val="FootnoteText"/>
      </w:pPr>
      <w:r>
        <w:rPr>
          <w:rStyle w:val="FootnoteReference"/>
        </w:rPr>
        <w:footnoteRef/>
      </w:r>
      <w:r>
        <w:t xml:space="preserve"> RTI brief at unnumbered p. 1. </w:t>
      </w:r>
    </w:p>
  </w:footnote>
  <w:footnote w:id="7">
    <w:p w:rsidR="00F37C35" w:rsidRDefault="00F37C35">
      <w:pPr>
        <w:pStyle w:val="FootnoteText"/>
      </w:pPr>
      <w:r>
        <w:rPr>
          <w:rStyle w:val="FootnoteReference"/>
        </w:rPr>
        <w:footnoteRef/>
      </w:r>
      <w:r>
        <w:t xml:space="preserve"> Initial Decision at 3. </w:t>
      </w:r>
    </w:p>
  </w:footnote>
  <w:footnote w:id="8">
    <w:p w:rsidR="00201D91" w:rsidRDefault="00201D91">
      <w:pPr>
        <w:pStyle w:val="FootnoteText"/>
      </w:pPr>
      <w:r>
        <w:rPr>
          <w:rStyle w:val="FootnoteReference"/>
        </w:rPr>
        <w:footnoteRef/>
      </w:r>
      <w:r>
        <w:t xml:space="preserve"> Even assuming </w:t>
      </w:r>
      <w:r w:rsidRPr="008F539F">
        <w:rPr>
          <w:i/>
        </w:rPr>
        <w:t>arguendo</w:t>
      </w:r>
      <w:r>
        <w:t xml:space="preserve"> that Respondent’s argument was </w:t>
      </w:r>
      <w:r w:rsidR="00E153F0">
        <w:t>legally sufficient</w:t>
      </w:r>
      <w:r>
        <w:t>, its irrelevance precludes it from affecting the lower decision</w:t>
      </w:r>
      <w:r w:rsidR="00C10071">
        <w:t xml:space="preserve"> because the decision </w:t>
      </w:r>
      <w:r w:rsidR="00555310">
        <w:t>was based on different</w:t>
      </w:r>
      <w:r>
        <w:t xml:space="preserve"> grounds</w:t>
      </w:r>
      <w:r w:rsidR="00C10071">
        <w:t xml:space="preserve">, </w:t>
      </w:r>
      <w:r w:rsidR="00C10071" w:rsidRPr="00072F5A">
        <w:rPr>
          <w:i/>
        </w:rPr>
        <w:t>i.e.</w:t>
      </w:r>
      <w:r w:rsidR="00C10071">
        <w:t>, the failure to resolve discrepancies</w:t>
      </w:r>
      <w:r>
        <w:t>.</w:t>
      </w:r>
    </w:p>
  </w:footnote>
  <w:footnote w:id="9">
    <w:p w:rsidR="00390B84" w:rsidRDefault="00390B84" w:rsidP="00390B84">
      <w:pPr>
        <w:pStyle w:val="FootnoteText"/>
      </w:pPr>
      <w:r>
        <w:rPr>
          <w:rStyle w:val="FootnoteReference"/>
        </w:rPr>
        <w:footnoteRef/>
      </w:r>
      <w:r>
        <w:t xml:space="preserve"> This argument might</w:t>
      </w:r>
      <w:r w:rsidR="002F2C78">
        <w:t xml:space="preserve"> have</w:t>
      </w:r>
      <w:r>
        <w:t xml:space="preserve"> be</w:t>
      </w:r>
      <w:r w:rsidR="002F2C78">
        <w:t>en</w:t>
      </w:r>
      <w:r>
        <w:t xml:space="preserve"> </w:t>
      </w:r>
      <w:r w:rsidR="00150DCF">
        <w:t>plausible</w:t>
      </w:r>
      <w:r>
        <w:t xml:space="preserve"> if the Initial Decision </w:t>
      </w:r>
      <w:r w:rsidR="002F2C78">
        <w:t>had been decided</w:t>
      </w:r>
      <w:r>
        <w:t xml:space="preserve"> on </w:t>
      </w:r>
      <w:r w:rsidR="00E06E0B">
        <w:t>the basis of the adequacy of the documentation or the acceptability of the students’ credentials</w:t>
      </w:r>
      <w:r>
        <w:t xml:space="preserve">. </w:t>
      </w:r>
      <w:r w:rsidR="002F2C78">
        <w:t xml:space="preserve"> However, t</w:t>
      </w:r>
      <w:r>
        <w:t xml:space="preserve">he two students’ records to which this argument might </w:t>
      </w:r>
      <w:r w:rsidR="002F2C78">
        <w:t xml:space="preserve">have </w:t>
      </w:r>
      <w:r>
        <w:t>appl</w:t>
      </w:r>
      <w:r w:rsidR="002F2C78">
        <w:t>ied</w:t>
      </w:r>
      <w:r>
        <w:t xml:space="preserve"> were determined noncompliant based on the inconsistencies within their files.  Although the narrative in Judge </w:t>
      </w:r>
      <w:proofErr w:type="spellStart"/>
      <w:r>
        <w:t>Canellos’s</w:t>
      </w:r>
      <w:proofErr w:type="spellEnd"/>
      <w:r>
        <w:t xml:space="preserve"> decision </w:t>
      </w:r>
      <w:r w:rsidR="00C84E00">
        <w:t xml:space="preserve">cites the </w:t>
      </w:r>
      <w:r>
        <w:t>certificates of completion for both Student K.S. and Student Z.A., the basis of his decision was the inconsistencies in their records</w:t>
      </w:r>
      <w:r w:rsidR="00C84E00">
        <w:t>, not whether the students’ high school credentials were sufficient for eligibility</w:t>
      </w:r>
      <w:r>
        <w:t>.</w:t>
      </w:r>
      <w:r w:rsidR="00AC258B">
        <w:t xml:space="preserve"> </w:t>
      </w:r>
      <w:r>
        <w:t xml:space="preserve"> </w:t>
      </w:r>
      <w:r w:rsidR="0017311F">
        <w:t xml:space="preserve">For this reason, the reliance argument is irrelevant.  </w:t>
      </w:r>
      <w:r>
        <w:t>It is clear upon reviewing these two students’ records that</w:t>
      </w:r>
      <w:r w:rsidR="002F2C78">
        <w:t xml:space="preserve"> they </w:t>
      </w:r>
      <w:r>
        <w:t>contain discrepancies that Respondent had a duty to resolve</w:t>
      </w:r>
      <w:r w:rsidR="00002A48">
        <w:t xml:space="preserve">. </w:t>
      </w:r>
      <w:r w:rsidR="0017311F">
        <w:t xml:space="preserve"> First, </w:t>
      </w:r>
      <w:r w:rsidR="00F75D47">
        <w:t xml:space="preserve">as Judge </w:t>
      </w:r>
      <w:proofErr w:type="spellStart"/>
      <w:r w:rsidR="00F75D47">
        <w:t>Canellos</w:t>
      </w:r>
      <w:proofErr w:type="spellEnd"/>
      <w:r w:rsidR="00F75D47">
        <w:t xml:space="preserve"> noted</w:t>
      </w:r>
      <w:r w:rsidR="0017311F">
        <w:t>, t</w:t>
      </w:r>
      <w:r w:rsidR="00C84E00">
        <w:t>he fact that the students’ files contain certificat</w:t>
      </w:r>
      <w:r w:rsidR="00B17C3B">
        <w:t>es</w:t>
      </w:r>
      <w:r w:rsidR="00C84E00">
        <w:t xml:space="preserve"> of completion rather than a diploma or GED is, in and of itself, inconsistent with the</w:t>
      </w:r>
      <w:r w:rsidR="0017311F">
        <w:t>ir</w:t>
      </w:r>
      <w:r w:rsidR="00C84E00">
        <w:t xml:space="preserve"> Attestation Form</w:t>
      </w:r>
      <w:r w:rsidR="0017311F">
        <w:t xml:space="preserve">s; these </w:t>
      </w:r>
      <w:r w:rsidR="00B54BE8">
        <w:t xml:space="preserve">were </w:t>
      </w:r>
      <w:r w:rsidR="00C84E00">
        <w:t>discrepanc</w:t>
      </w:r>
      <w:r w:rsidR="0017311F">
        <w:t>ies</w:t>
      </w:r>
      <w:r w:rsidR="00C84E00">
        <w:t xml:space="preserve"> in need of resolution.  </w:t>
      </w:r>
      <w:r>
        <w:t>Student K.S. affirm</w:t>
      </w:r>
      <w:r w:rsidR="00AB203B">
        <w:t>ed</w:t>
      </w:r>
      <w:r>
        <w:t xml:space="preserve"> in her Attestation Form that she ha</w:t>
      </w:r>
      <w:r w:rsidR="006F4D58">
        <w:t>d</w:t>
      </w:r>
      <w:r>
        <w:t xml:space="preserve"> met all requirements for a high school diploma or a GED, yet, the record contains neither.  </w:t>
      </w:r>
      <w:r w:rsidRPr="008F539F">
        <w:rPr>
          <w:i/>
        </w:rPr>
        <w:t>See</w:t>
      </w:r>
      <w:r>
        <w:t xml:space="preserve">, </w:t>
      </w:r>
      <w:r w:rsidR="00B5602E">
        <w:t xml:space="preserve">FSA </w:t>
      </w:r>
      <w:r>
        <w:t>ex. 10-1.  Student Z.A. signed her Attestation Form but left blank her high school name and graduation</w:t>
      </w:r>
      <w:r w:rsidR="006F4D58">
        <w:t xml:space="preserve"> date</w:t>
      </w:r>
      <w:r>
        <w:t xml:space="preserve">.  The student’s failure to complete the form while still signing it creates an inconsistency within the document itself and begs the question as to what the student is verifying.  </w:t>
      </w:r>
      <w:r w:rsidRPr="008F539F">
        <w:rPr>
          <w:i/>
        </w:rPr>
        <w:t>See</w:t>
      </w:r>
      <w:r>
        <w:t xml:space="preserve">, </w:t>
      </w:r>
      <w:r w:rsidR="00B5602E">
        <w:t xml:space="preserve">FSA </w:t>
      </w:r>
      <w:r>
        <w:t>ex. 13-1, 13-2.</w:t>
      </w:r>
    </w:p>
  </w:footnote>
  <w:footnote w:id="10">
    <w:p w:rsidR="00BA55FA" w:rsidRDefault="00BA55FA">
      <w:pPr>
        <w:pStyle w:val="FootnoteText"/>
      </w:pPr>
      <w:r>
        <w:rPr>
          <w:rStyle w:val="FootnoteReference"/>
        </w:rPr>
        <w:footnoteRef/>
      </w:r>
      <w:r w:rsidR="004158E5">
        <w:t xml:space="preserve"> En</w:t>
      </w:r>
      <w:r>
        <w:t>umerated as #3 in the appeal but the second of the two issues I am addressing in this decision.</w:t>
      </w:r>
    </w:p>
  </w:footnote>
  <w:footnote w:id="11">
    <w:p w:rsidR="00FE07B5" w:rsidRDefault="00FE07B5">
      <w:pPr>
        <w:pStyle w:val="FootnoteText"/>
      </w:pPr>
      <w:r>
        <w:rPr>
          <w:rStyle w:val="FootnoteReference"/>
        </w:rPr>
        <w:footnoteRef/>
      </w:r>
      <w:r>
        <w:t xml:space="preserve"> RTI brief at unnumbered p. 2.</w:t>
      </w:r>
    </w:p>
  </w:footnote>
  <w:footnote w:id="12">
    <w:p w:rsidR="00590D0E" w:rsidRDefault="00590D0E">
      <w:pPr>
        <w:pStyle w:val="FootnoteText"/>
      </w:pPr>
      <w:r>
        <w:rPr>
          <w:rStyle w:val="FootnoteReference"/>
        </w:rPr>
        <w:footnoteRef/>
      </w:r>
      <w:r>
        <w:t xml:space="preserve"> </w:t>
      </w:r>
      <w:r w:rsidRPr="00590D0E">
        <w:rPr>
          <w:i/>
        </w:rPr>
        <w:t>See</w:t>
      </w:r>
      <w:r>
        <w:t xml:space="preserve">, </w:t>
      </w:r>
      <w:r w:rsidR="00397297">
        <w:t xml:space="preserve">FSA </w:t>
      </w:r>
      <w:r>
        <w:t>ex. 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50"/>
    <w:rsid w:val="00002A48"/>
    <w:rsid w:val="00026F62"/>
    <w:rsid w:val="00036E0B"/>
    <w:rsid w:val="000446D0"/>
    <w:rsid w:val="00072F5A"/>
    <w:rsid w:val="00086D93"/>
    <w:rsid w:val="000939CB"/>
    <w:rsid w:val="00096205"/>
    <w:rsid w:val="000C18EC"/>
    <w:rsid w:val="000C20B2"/>
    <w:rsid w:val="000D524D"/>
    <w:rsid w:val="000D647C"/>
    <w:rsid w:val="001305D0"/>
    <w:rsid w:val="00150DCF"/>
    <w:rsid w:val="001611B3"/>
    <w:rsid w:val="0017311F"/>
    <w:rsid w:val="001876A6"/>
    <w:rsid w:val="001A0C2E"/>
    <w:rsid w:val="001B6D1E"/>
    <w:rsid w:val="001E1031"/>
    <w:rsid w:val="00201D91"/>
    <w:rsid w:val="00205AF1"/>
    <w:rsid w:val="00206EB4"/>
    <w:rsid w:val="00214519"/>
    <w:rsid w:val="00223607"/>
    <w:rsid w:val="0023417D"/>
    <w:rsid w:val="002366A2"/>
    <w:rsid w:val="00270A0A"/>
    <w:rsid w:val="00272EE4"/>
    <w:rsid w:val="00277FED"/>
    <w:rsid w:val="002A0EC8"/>
    <w:rsid w:val="002E2F5F"/>
    <w:rsid w:val="002E36C6"/>
    <w:rsid w:val="002F2C78"/>
    <w:rsid w:val="0030558D"/>
    <w:rsid w:val="00360A0E"/>
    <w:rsid w:val="00390B84"/>
    <w:rsid w:val="00397297"/>
    <w:rsid w:val="003A1E3C"/>
    <w:rsid w:val="003B094F"/>
    <w:rsid w:val="003F3050"/>
    <w:rsid w:val="004038C2"/>
    <w:rsid w:val="004158E5"/>
    <w:rsid w:val="00433C7A"/>
    <w:rsid w:val="00446919"/>
    <w:rsid w:val="00471174"/>
    <w:rsid w:val="004C0649"/>
    <w:rsid w:val="004D538D"/>
    <w:rsid w:val="004D79AA"/>
    <w:rsid w:val="004E1924"/>
    <w:rsid w:val="00501BF4"/>
    <w:rsid w:val="0051236F"/>
    <w:rsid w:val="00522EE9"/>
    <w:rsid w:val="005236AB"/>
    <w:rsid w:val="005400EB"/>
    <w:rsid w:val="00555310"/>
    <w:rsid w:val="00580097"/>
    <w:rsid w:val="00590D0E"/>
    <w:rsid w:val="005A4DB6"/>
    <w:rsid w:val="005B42C6"/>
    <w:rsid w:val="005B5728"/>
    <w:rsid w:val="005B7207"/>
    <w:rsid w:val="005C348A"/>
    <w:rsid w:val="005D6E59"/>
    <w:rsid w:val="005E4631"/>
    <w:rsid w:val="005F6BD2"/>
    <w:rsid w:val="005F7CB3"/>
    <w:rsid w:val="00607270"/>
    <w:rsid w:val="00611DD5"/>
    <w:rsid w:val="00637AD1"/>
    <w:rsid w:val="00643B1E"/>
    <w:rsid w:val="0064552E"/>
    <w:rsid w:val="006649B9"/>
    <w:rsid w:val="00665C5E"/>
    <w:rsid w:val="006832B0"/>
    <w:rsid w:val="006A106C"/>
    <w:rsid w:val="006F4D58"/>
    <w:rsid w:val="0070141D"/>
    <w:rsid w:val="00733C68"/>
    <w:rsid w:val="007B5005"/>
    <w:rsid w:val="007D4801"/>
    <w:rsid w:val="00806472"/>
    <w:rsid w:val="008071E9"/>
    <w:rsid w:val="00841D5B"/>
    <w:rsid w:val="0086130A"/>
    <w:rsid w:val="008702DF"/>
    <w:rsid w:val="00890671"/>
    <w:rsid w:val="008939BD"/>
    <w:rsid w:val="008D116E"/>
    <w:rsid w:val="008F539F"/>
    <w:rsid w:val="00916D31"/>
    <w:rsid w:val="00946135"/>
    <w:rsid w:val="009A1A08"/>
    <w:rsid w:val="009E323B"/>
    <w:rsid w:val="009E532A"/>
    <w:rsid w:val="009F0D79"/>
    <w:rsid w:val="009F2EBD"/>
    <w:rsid w:val="00A0279B"/>
    <w:rsid w:val="00A12434"/>
    <w:rsid w:val="00A2037F"/>
    <w:rsid w:val="00A711B4"/>
    <w:rsid w:val="00AA4A46"/>
    <w:rsid w:val="00AB203B"/>
    <w:rsid w:val="00AC258B"/>
    <w:rsid w:val="00AD691F"/>
    <w:rsid w:val="00B073FD"/>
    <w:rsid w:val="00B17C3B"/>
    <w:rsid w:val="00B25E93"/>
    <w:rsid w:val="00B27BB3"/>
    <w:rsid w:val="00B463B8"/>
    <w:rsid w:val="00B54BE8"/>
    <w:rsid w:val="00B5602E"/>
    <w:rsid w:val="00B65007"/>
    <w:rsid w:val="00B761C6"/>
    <w:rsid w:val="00B86363"/>
    <w:rsid w:val="00BA55FA"/>
    <w:rsid w:val="00BB40CD"/>
    <w:rsid w:val="00BC7E7E"/>
    <w:rsid w:val="00BD5E25"/>
    <w:rsid w:val="00BF0EAC"/>
    <w:rsid w:val="00C10071"/>
    <w:rsid w:val="00C136CB"/>
    <w:rsid w:val="00C54AF2"/>
    <w:rsid w:val="00C7230A"/>
    <w:rsid w:val="00C7587E"/>
    <w:rsid w:val="00C7598B"/>
    <w:rsid w:val="00C84E00"/>
    <w:rsid w:val="00CA317A"/>
    <w:rsid w:val="00CA751E"/>
    <w:rsid w:val="00D1571E"/>
    <w:rsid w:val="00D56043"/>
    <w:rsid w:val="00D66CE9"/>
    <w:rsid w:val="00D75693"/>
    <w:rsid w:val="00D969AA"/>
    <w:rsid w:val="00DA722D"/>
    <w:rsid w:val="00DB506D"/>
    <w:rsid w:val="00E06E0B"/>
    <w:rsid w:val="00E13813"/>
    <w:rsid w:val="00E153F0"/>
    <w:rsid w:val="00E32E98"/>
    <w:rsid w:val="00E41CAF"/>
    <w:rsid w:val="00EA679A"/>
    <w:rsid w:val="00EB26DF"/>
    <w:rsid w:val="00EC3F3C"/>
    <w:rsid w:val="00ED242D"/>
    <w:rsid w:val="00EF112F"/>
    <w:rsid w:val="00EF180C"/>
    <w:rsid w:val="00EF4DF8"/>
    <w:rsid w:val="00F112B7"/>
    <w:rsid w:val="00F26CE5"/>
    <w:rsid w:val="00F332F4"/>
    <w:rsid w:val="00F37C35"/>
    <w:rsid w:val="00F446EF"/>
    <w:rsid w:val="00F44BD8"/>
    <w:rsid w:val="00F52B9F"/>
    <w:rsid w:val="00F573B5"/>
    <w:rsid w:val="00F75D47"/>
    <w:rsid w:val="00FA37B0"/>
    <w:rsid w:val="00FC543B"/>
    <w:rsid w:val="00FD423D"/>
    <w:rsid w:val="00FD66B0"/>
    <w:rsid w:val="00FE07B5"/>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9F75E-06B1-428D-A21A-FAD4F9B8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vertAlign w:val="superscript"/>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47C"/>
    <w:pPr>
      <w:autoSpaceDE w:val="0"/>
      <w:autoSpaceDN w:val="0"/>
      <w:adjustRightInd w:val="0"/>
      <w:spacing w:line="240" w:lineRule="auto"/>
    </w:pPr>
    <w:rPr>
      <w:color w:val="000000"/>
      <w:sz w:val="24"/>
      <w:szCs w:val="24"/>
    </w:rPr>
  </w:style>
  <w:style w:type="paragraph" w:styleId="FootnoteText">
    <w:name w:val="footnote text"/>
    <w:basedOn w:val="Normal"/>
    <w:link w:val="FootnoteTextChar"/>
    <w:uiPriority w:val="99"/>
    <w:semiHidden/>
    <w:unhideWhenUsed/>
    <w:rsid w:val="00E32E98"/>
  </w:style>
  <w:style w:type="character" w:customStyle="1" w:styleId="FootnoteTextChar">
    <w:name w:val="Footnote Text Char"/>
    <w:basedOn w:val="DefaultParagraphFont"/>
    <w:link w:val="FootnoteText"/>
    <w:uiPriority w:val="99"/>
    <w:semiHidden/>
    <w:rsid w:val="00E32E98"/>
    <w:rPr>
      <w:vertAlign w:val="baseline"/>
    </w:rPr>
  </w:style>
  <w:style w:type="character" w:styleId="FootnoteReference">
    <w:name w:val="footnote reference"/>
    <w:basedOn w:val="DefaultParagraphFont"/>
    <w:uiPriority w:val="99"/>
    <w:semiHidden/>
    <w:unhideWhenUsed/>
    <w:rsid w:val="00E32E98"/>
    <w:rPr>
      <w:vertAlign w:val="superscript"/>
    </w:rPr>
  </w:style>
  <w:style w:type="table" w:styleId="TableGrid">
    <w:name w:val="Table Grid"/>
    <w:basedOn w:val="TableNormal"/>
    <w:uiPriority w:val="59"/>
    <w:rsid w:val="008702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73FD"/>
    <w:rPr>
      <w:color w:val="0000FF"/>
      <w:u w:val="single"/>
    </w:rPr>
  </w:style>
  <w:style w:type="character" w:customStyle="1" w:styleId="apple-converted-space">
    <w:name w:val="apple-converted-space"/>
    <w:basedOn w:val="DefaultParagraphFont"/>
    <w:rsid w:val="005E4631"/>
  </w:style>
  <w:style w:type="paragraph" w:styleId="BalloonText">
    <w:name w:val="Balloon Text"/>
    <w:basedOn w:val="Normal"/>
    <w:link w:val="BalloonTextChar"/>
    <w:uiPriority w:val="99"/>
    <w:semiHidden/>
    <w:unhideWhenUsed/>
    <w:rsid w:val="00FE1DE2"/>
    <w:rPr>
      <w:rFonts w:ascii="Tahoma" w:hAnsi="Tahoma" w:cs="Tahoma"/>
      <w:sz w:val="16"/>
      <w:szCs w:val="16"/>
    </w:rPr>
  </w:style>
  <w:style w:type="character" w:customStyle="1" w:styleId="BalloonTextChar">
    <w:name w:val="Balloon Text Char"/>
    <w:basedOn w:val="DefaultParagraphFont"/>
    <w:link w:val="BalloonText"/>
    <w:uiPriority w:val="99"/>
    <w:semiHidden/>
    <w:rsid w:val="00FE1DE2"/>
    <w:rPr>
      <w:rFonts w:ascii="Tahoma" w:hAnsi="Tahoma" w:cs="Tahoma"/>
      <w:sz w:val="16"/>
      <w:szCs w:val="16"/>
      <w:vertAlign w:val="baseline"/>
    </w:rPr>
  </w:style>
  <w:style w:type="character" w:styleId="CommentReference">
    <w:name w:val="annotation reference"/>
    <w:basedOn w:val="DefaultParagraphFont"/>
    <w:uiPriority w:val="99"/>
    <w:semiHidden/>
    <w:unhideWhenUsed/>
    <w:rsid w:val="00FE1DE2"/>
    <w:rPr>
      <w:sz w:val="16"/>
      <w:szCs w:val="16"/>
    </w:rPr>
  </w:style>
  <w:style w:type="paragraph" w:styleId="CommentText">
    <w:name w:val="annotation text"/>
    <w:basedOn w:val="Normal"/>
    <w:link w:val="CommentTextChar"/>
    <w:uiPriority w:val="99"/>
    <w:semiHidden/>
    <w:unhideWhenUsed/>
    <w:rsid w:val="00FE1DE2"/>
  </w:style>
  <w:style w:type="character" w:customStyle="1" w:styleId="CommentTextChar">
    <w:name w:val="Comment Text Char"/>
    <w:basedOn w:val="DefaultParagraphFont"/>
    <w:link w:val="CommentText"/>
    <w:uiPriority w:val="99"/>
    <w:semiHidden/>
    <w:rsid w:val="00FE1DE2"/>
    <w:rPr>
      <w:vertAlign w:val="baseline"/>
    </w:rPr>
  </w:style>
  <w:style w:type="paragraph" w:styleId="CommentSubject">
    <w:name w:val="annotation subject"/>
    <w:basedOn w:val="CommentText"/>
    <w:next w:val="CommentText"/>
    <w:link w:val="CommentSubjectChar"/>
    <w:uiPriority w:val="99"/>
    <w:semiHidden/>
    <w:unhideWhenUsed/>
    <w:rsid w:val="00FE1DE2"/>
    <w:rPr>
      <w:b/>
      <w:bCs/>
    </w:rPr>
  </w:style>
  <w:style w:type="character" w:customStyle="1" w:styleId="CommentSubjectChar">
    <w:name w:val="Comment Subject Char"/>
    <w:basedOn w:val="CommentTextChar"/>
    <w:link w:val="CommentSubject"/>
    <w:uiPriority w:val="99"/>
    <w:semiHidden/>
    <w:rsid w:val="00FE1DE2"/>
    <w:rPr>
      <w:b/>
      <w:bCs/>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0950">
      <w:bodyDiv w:val="1"/>
      <w:marLeft w:val="0"/>
      <w:marRight w:val="0"/>
      <w:marTop w:val="0"/>
      <w:marBottom w:val="0"/>
      <w:divBdr>
        <w:top w:val="none" w:sz="0" w:space="0" w:color="auto"/>
        <w:left w:val="none" w:sz="0" w:space="0" w:color="auto"/>
        <w:bottom w:val="none" w:sz="0" w:space="0" w:color="auto"/>
        <w:right w:val="none" w:sz="0" w:space="0" w:color="auto"/>
      </w:divBdr>
      <w:divsChild>
        <w:div w:id="89793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oha.ed.gov/cases/2011-30-S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775689AFFABD44A93D47C1EB76EE10" ma:contentTypeVersion="0" ma:contentTypeDescription="Create a new document." ma:contentTypeScope="" ma:versionID="d21c52fbbafdc6d42a53dc4b54fddd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E48B0-33B0-4502-B9E4-398C6B2BF877}">
  <ds:schemaRefs>
    <ds:schemaRef ds:uri="http://schemas.openxmlformats.org/officeDocument/2006/bibliography"/>
  </ds:schemaRefs>
</ds:datastoreItem>
</file>

<file path=customXml/itemProps2.xml><?xml version="1.0" encoding="utf-8"?>
<ds:datastoreItem xmlns:ds="http://schemas.openxmlformats.org/officeDocument/2006/customXml" ds:itemID="{AFC47863-9F87-4921-9943-66F9659ADF3B}"/>
</file>

<file path=customXml/itemProps3.xml><?xml version="1.0" encoding="utf-8"?>
<ds:datastoreItem xmlns:ds="http://schemas.openxmlformats.org/officeDocument/2006/customXml" ds:itemID="{8225F26E-EAFD-4459-9A14-047CD43B481A}"/>
</file>

<file path=customXml/itemProps4.xml><?xml version="1.0" encoding="utf-8"?>
<ds:datastoreItem xmlns:ds="http://schemas.openxmlformats.org/officeDocument/2006/customXml" ds:itemID="{51BBACD3-15E0-4366-8467-59BE84CDA859}"/>
</file>

<file path=docProps/app.xml><?xml version="1.0" encoding="utf-8"?>
<Properties xmlns="http://schemas.openxmlformats.org/officeDocument/2006/extended-properties" xmlns:vt="http://schemas.openxmlformats.org/officeDocument/2006/docPropsVTypes">
  <Template>Normal.dotm</Template>
  <TotalTime>65</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Frank Rocha</cp:lastModifiedBy>
  <cp:revision>9</cp:revision>
  <cp:lastPrinted>2014-10-16T16:59:00Z</cp:lastPrinted>
  <dcterms:created xsi:type="dcterms:W3CDTF">2014-10-16T13:57:00Z</dcterms:created>
  <dcterms:modified xsi:type="dcterms:W3CDTF">2014-12-02T16:31:00Z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0x0101007A775689AFFABD44A93D47C1EB76EE10</vt:lpwstr>
  </property>
</Properties>
</file>